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/>
          <w:b/>
          <w:bCs/>
          <w:sz w:val="32"/>
          <w:szCs w:val="32"/>
        </w:rPr>
        <w:t>扬州高等职业技术学校电子元器件等耗材项目</w:t>
      </w:r>
      <w:r>
        <w:rPr>
          <w:rFonts w:eastAsia="楷体_GB2312"/>
          <w:b/>
          <w:bCs/>
          <w:sz w:val="32"/>
          <w:szCs w:val="32"/>
        </w:rPr>
        <w:t>的询价采购</w:t>
      </w:r>
    </w:p>
    <w:p>
      <w:pPr>
        <w:widowControl/>
        <w:jc w:val="center"/>
        <w:rPr>
          <w:rFonts w:eastAsia="楷体_GB2312"/>
          <w:b/>
          <w:bCs/>
          <w:spacing w:val="15"/>
          <w:kern w:val="0"/>
          <w:sz w:val="32"/>
          <w:szCs w:val="32"/>
        </w:rPr>
      </w:pPr>
    </w:p>
    <w:p>
      <w:pPr>
        <w:widowControl/>
        <w:spacing w:line="270" w:lineRule="atLeast"/>
        <w:ind w:left="567" w:leftChars="270" w:right="401" w:rightChars="191"/>
        <w:jc w:val="left"/>
        <w:rPr>
          <w:rFonts w:eastAsia="楷体_GB2312"/>
          <w:spacing w:val="15"/>
          <w:kern w:val="0"/>
          <w:sz w:val="28"/>
        </w:rPr>
      </w:pPr>
      <w:r>
        <w:rPr>
          <w:rFonts w:hint="eastAsia" w:eastAsia="楷体_GB2312"/>
          <w:spacing w:val="15"/>
          <w:kern w:val="0"/>
          <w:sz w:val="28"/>
          <w:u w:val="single"/>
        </w:rPr>
        <w:t xml:space="preserve">               </w:t>
      </w:r>
      <w:r>
        <w:rPr>
          <w:rFonts w:eastAsia="楷体_GB2312"/>
          <w:spacing w:val="15"/>
          <w:kern w:val="0"/>
          <w:sz w:val="28"/>
        </w:rPr>
        <w:t>公司：</w:t>
      </w:r>
    </w:p>
    <w:p>
      <w:pPr>
        <w:widowControl/>
        <w:spacing w:line="280" w:lineRule="exact"/>
        <w:ind w:left="567" w:leftChars="270" w:right="401" w:rightChars="191" w:firstLine="405" w:firstLineChars="150"/>
        <w:jc w:val="left"/>
        <w:rPr>
          <w:rFonts w:eastAsia="楷体_GB2312"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我校</w:t>
      </w:r>
      <w:r>
        <w:rPr>
          <w:rFonts w:eastAsia="楷体_GB2312"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现采购</w:t>
      </w:r>
      <w:r>
        <w:rPr>
          <w:rFonts w:hint="eastAsia" w:eastAsia="楷体_GB2312"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电子元器件等耗材项目</w:t>
      </w:r>
      <w:r>
        <w:rPr>
          <w:rFonts w:eastAsia="楷体_GB2312"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，请按下表格式报价并请注意如下事项：</w:t>
      </w:r>
    </w:p>
    <w:p>
      <w:pPr>
        <w:widowControl/>
        <w:spacing w:line="280" w:lineRule="exact"/>
        <w:ind w:left="567" w:leftChars="270" w:right="401" w:rightChars="191"/>
        <w:jc w:val="left"/>
        <w:rPr>
          <w:rFonts w:eastAsia="楷体_GB2312"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1、所有报价均为人民币。</w:t>
      </w:r>
      <w:r>
        <w:rPr>
          <w:rFonts w:hint="eastAsia" w:eastAsia="楷体_GB2312"/>
          <w:b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此项目限价</w:t>
      </w:r>
      <w:r>
        <w:rPr>
          <w:rFonts w:eastAsia="楷体_GB2312"/>
          <w:b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168</w:t>
      </w:r>
      <w:r>
        <w:rPr>
          <w:rFonts w:hint="eastAsia" w:eastAsia="楷体_GB2312"/>
          <w:b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00元。</w:t>
      </w:r>
    </w:p>
    <w:p>
      <w:pPr>
        <w:widowControl/>
        <w:spacing w:line="280" w:lineRule="exact"/>
        <w:ind w:left="567" w:leftChars="270" w:right="401" w:rightChars="191"/>
        <w:jc w:val="left"/>
        <w:rPr>
          <w:rFonts w:eastAsia="楷体_GB2312"/>
          <w:b/>
          <w:bCs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eastAsia="楷体_GB2312"/>
          <w:b/>
          <w:bCs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2、报价单请于20</w:t>
      </w:r>
      <w:r>
        <w:rPr>
          <w:rFonts w:hint="eastAsia" w:eastAsia="楷体_GB2312"/>
          <w:b/>
          <w:bCs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eastAsia="楷体_GB2312"/>
          <w:b/>
          <w:bCs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1年</w:t>
      </w:r>
      <w:r>
        <w:rPr>
          <w:rFonts w:hint="eastAsia" w:eastAsia="楷体_GB2312"/>
          <w:b/>
          <w:bCs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3月</w:t>
      </w:r>
      <w:r>
        <w:rPr>
          <w:rFonts w:hint="eastAsia" w:eastAsia="楷体_GB2312"/>
          <w:b/>
          <w:bCs/>
          <w:color w:val="000000" w:themeColor="text1"/>
          <w:spacing w:val="15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eastAsia="楷体_GB2312"/>
          <w:b/>
          <w:bCs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楷体_GB2312"/>
          <w:b/>
          <w:bCs/>
          <w:color w:val="000000" w:themeColor="text1"/>
          <w:spacing w:val="15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eastAsia="楷体_GB2312"/>
          <w:b/>
          <w:bCs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 w:eastAsia="楷体_GB2312"/>
          <w:b/>
          <w:bCs/>
          <w:color w:val="000000" w:themeColor="text1"/>
          <w:spacing w:val="15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楷体_GB2312"/>
          <w:b/>
          <w:bCs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eastAsia="楷体_GB2312"/>
          <w:b/>
          <w:bCs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前密封盖章送至（以送达时间为准）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扬州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高等职业技术学校(万福西路54号)19号楼20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室，</w:t>
      </w:r>
      <w:r>
        <w:rPr>
          <w:rFonts w:eastAsia="楷体_GB2312"/>
          <w:b/>
          <w:bCs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逾期将不予接收。</w:t>
      </w:r>
    </w:p>
    <w:p>
      <w:pPr>
        <w:widowControl/>
        <w:spacing w:line="280" w:lineRule="exact"/>
        <w:ind w:left="567" w:leftChars="270" w:right="401" w:rightChars="191"/>
        <w:jc w:val="left"/>
        <w:rPr>
          <w:rFonts w:eastAsia="楷体_GB2312"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3、</w:t>
      </w:r>
      <w:r>
        <w:rPr>
          <w:rFonts w:hint="eastAsia" w:eastAsia="楷体_GB2312"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请将包括货物“品牌型号”、“到货时间”、“合计数”等在内的所有应填写的项目、要求提供的资质证明文件填全报全，否则以废单处理。</w:t>
      </w:r>
    </w:p>
    <w:p>
      <w:pPr>
        <w:widowControl/>
        <w:spacing w:line="280" w:lineRule="exact"/>
        <w:ind w:left="567" w:leftChars="270" w:right="401" w:rightChars="191"/>
        <w:jc w:val="left"/>
        <w:rPr>
          <w:rFonts w:eastAsia="楷体_GB2312"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4、供应商如提供假、冒、伪、劣商品的，</w:t>
      </w:r>
      <w:r>
        <w:rPr>
          <w:rFonts w:hint="eastAsia" w:eastAsia="楷体_GB2312"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学校有权拒绝接收货物，3年内不得参加本校所有采购的投标</w:t>
      </w:r>
      <w:r>
        <w:rPr>
          <w:rFonts w:eastAsia="楷体_GB2312"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ind w:firstLine="540" w:firstLineChars="200"/>
        <w:jc w:val="left"/>
        <w:rPr>
          <w:rFonts w:eastAsia="楷体_GB2312"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5、项目技术联系人：</w:t>
      </w:r>
      <w:r>
        <w:rPr>
          <w:rFonts w:hint="eastAsia" w:eastAsia="楷体_GB2312"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朱老师 联系电话：</w:t>
      </w:r>
      <w:r>
        <w:rPr>
          <w:rFonts w:eastAsia="楷体_GB2312"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13665277626</w:t>
      </w:r>
    </w:p>
    <w:p>
      <w:pPr>
        <w:spacing w:line="280" w:lineRule="exact"/>
        <w:ind w:left="567" w:leftChars="270" w:right="401" w:rightChars="191"/>
        <w:rPr>
          <w:rFonts w:eastAsia="楷体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供应商名称（公章）：</w:t>
      </w:r>
    </w:p>
    <w:tbl>
      <w:tblPr>
        <w:tblStyle w:val="15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01"/>
        <w:gridCol w:w="891"/>
        <w:gridCol w:w="283"/>
        <w:gridCol w:w="1985"/>
        <w:gridCol w:w="709"/>
        <w:gridCol w:w="850"/>
        <w:gridCol w:w="1276"/>
        <w:gridCol w:w="1559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扬州高等职业技术学校电子元器件等耗材项目</w:t>
            </w:r>
            <w:r>
              <w:rPr>
                <w:b/>
                <w:bCs/>
                <w:kern w:val="0"/>
                <w:sz w:val="24"/>
              </w:rPr>
              <w:t>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89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 xml:space="preserve">总  </w:t>
            </w: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价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电子元器件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见附件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单股导线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胜扬</w:t>
            </w:r>
            <w:r>
              <w:rPr>
                <w:rFonts w:hint="eastAsia" w:ascii="宋体" w:hAnsi="宋体"/>
                <w:szCs w:val="21"/>
              </w:rPr>
              <w:t>0.2 mm</w:t>
            </w:r>
            <w:r>
              <w:rPr>
                <w:rFonts w:hint="eastAsia" w:ascii="宋体" w:hAnsi="宋体"/>
                <w:szCs w:val="21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黑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红</w:t>
            </w:r>
            <w:r>
              <w:rPr>
                <w:rFonts w:ascii="宋体" w:hAnsi="宋体" w:cs="宋体"/>
                <w:color w:val="00000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焊锡丝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Φ0.8mm,1Kg/卷;含锡量63%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138" w:type="dxa"/>
            <w:gridSpan w:val="10"/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 xml:space="preserve">说明：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38" w:type="dxa"/>
            <w:gridSpan w:val="10"/>
            <w:vAlign w:val="center"/>
          </w:tcPr>
          <w:p>
            <w:pPr>
              <w:widowControl/>
              <w:ind w:left="353" w:hanging="352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bCs/>
                <w:kern w:val="0"/>
                <w:sz w:val="24"/>
              </w:rPr>
              <w:t>1</w:t>
            </w:r>
            <w:r>
              <w:rPr>
                <w:rFonts w:eastAsia="楷体_GB2312"/>
                <w:bCs/>
                <w:kern w:val="0"/>
                <w:sz w:val="24"/>
              </w:rPr>
              <w:t>、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本次询价采购欢迎具备有相关资质的供应商参与投标。</w:t>
            </w:r>
          </w:p>
          <w:p>
            <w:pPr>
              <w:widowControl/>
              <w:ind w:left="397" w:hanging="396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2、请在规定时间内一次性报出不得更改的价格。</w:t>
            </w:r>
          </w:p>
          <w:p>
            <w:pPr>
              <w:widowControl/>
              <w:ind w:left="397" w:hanging="396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3、供应商在投标报价时，请提供标书1份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，密封并注明所投项目名称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。</w:t>
            </w:r>
          </w:p>
          <w:p>
            <w:pPr>
              <w:widowControl/>
              <w:ind w:left="397" w:hanging="396" w:hangingChars="147"/>
              <w:jc w:val="left"/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  <w:lang w:eastAsia="zh-CN"/>
              </w:rPr>
            </w:pP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4、</w:t>
            </w: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</w:rPr>
              <w:t>投标方接中标通知后，需十日内签订合同</w:t>
            </w: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  <w:lang w:eastAsia="zh-CN"/>
              </w:rPr>
              <w:t>，指定日期前送</w:t>
            </w: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</w:rPr>
              <w:t>货到指定地点</w:t>
            </w: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  <w:lang w:eastAsia="zh-CN"/>
              </w:rPr>
              <w:t>。</w:t>
            </w:r>
          </w:p>
          <w:p>
            <w:pPr>
              <w:widowControl/>
              <w:spacing w:line="240" w:lineRule="exact"/>
              <w:ind w:left="348" w:hanging="348" w:hangingChars="129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5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付款方式为在验收、调试合格后一次性付清。</w:t>
            </w:r>
          </w:p>
          <w:p>
            <w:pPr>
              <w:widowControl/>
              <w:ind w:left="397" w:hanging="396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6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邮递地址：扬州市万福西路54号　孙老师收　电话0514-85829119　</w:t>
            </w:r>
          </w:p>
          <w:p>
            <w:pPr>
              <w:widowControl/>
              <w:ind w:left="397" w:leftChars="189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邮编225003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81" w:type="dxa"/>
            <w:gridSpan w:val="3"/>
            <w:vAlign w:val="center"/>
          </w:tcPr>
          <w:p>
            <w:pPr>
              <w:widowControl/>
              <w:spacing w:line="270" w:lineRule="atLeast"/>
              <w:jc w:val="center"/>
              <w:rPr>
                <w:spacing w:val="20"/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合   计</w:t>
            </w:r>
          </w:p>
        </w:tc>
        <w:tc>
          <w:tcPr>
            <w:tcW w:w="7457" w:type="dxa"/>
            <w:gridSpan w:val="7"/>
            <w:vAlign w:val="center"/>
          </w:tcPr>
          <w:p>
            <w:pPr>
              <w:widowControl/>
              <w:jc w:val="left"/>
              <w:rPr>
                <w:spacing w:val="20"/>
                <w:kern w:val="0"/>
                <w:sz w:val="24"/>
              </w:rPr>
            </w:pPr>
            <w:r>
              <w:rPr>
                <w:spacing w:val="15"/>
                <w:kern w:val="0"/>
                <w:sz w:val="24"/>
              </w:rPr>
              <w:t>人民币（大写）</w:t>
            </w:r>
            <w:r>
              <w:rPr>
                <w:rFonts w:hint="eastAsia"/>
                <w:spacing w:val="15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eastAsia="楷体_GB2312"/>
                <w:spacing w:val="15"/>
                <w:kern w:val="0"/>
                <w:sz w:val="28"/>
              </w:rPr>
              <w:t>￥</w:t>
            </w:r>
            <w:r>
              <w:rPr>
                <w:spacing w:val="15"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90" w:type="dxa"/>
            <w:gridSpan w:val="2"/>
            <w:vMerge w:val="restart"/>
            <w:vAlign w:val="center"/>
          </w:tcPr>
          <w:p>
            <w:pPr>
              <w:widowControl/>
              <w:spacing w:line="301" w:lineRule="atLeast"/>
              <w:jc w:val="center"/>
              <w:rPr>
                <w:b/>
                <w:bCs/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备</w:t>
            </w:r>
          </w:p>
          <w:p>
            <w:pPr>
              <w:widowControl/>
              <w:spacing w:line="301" w:lineRule="atLeast"/>
              <w:jc w:val="center"/>
              <w:rPr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注</w:t>
            </w:r>
          </w:p>
        </w:tc>
        <w:tc>
          <w:tcPr>
            <w:tcW w:w="8348" w:type="dxa"/>
            <w:gridSpan w:val="8"/>
            <w:vAlign w:val="center"/>
          </w:tcPr>
          <w:p>
            <w:pPr>
              <w:widowControl/>
              <w:spacing w:line="270" w:lineRule="atLeast"/>
              <w:jc w:val="left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1"/>
              </w:rPr>
              <w:t>报价中含：</w:t>
            </w:r>
            <w:r>
              <w:rPr>
                <w:spacing w:val="15"/>
                <w:kern w:val="0"/>
                <w:sz w:val="24"/>
              </w:rPr>
              <w:t>设备—标准配件—专用工具—辅材附件—运输仓储—包装—安装调试—集成—保险—税金—人员培训—售后服务等一切费用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9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spacing w:val="17"/>
                <w:kern w:val="0"/>
                <w:sz w:val="24"/>
                <w:szCs w:val="21"/>
              </w:rPr>
            </w:pPr>
          </w:p>
        </w:tc>
        <w:tc>
          <w:tcPr>
            <w:tcW w:w="8348" w:type="dxa"/>
            <w:gridSpan w:val="8"/>
            <w:vAlign w:val="center"/>
          </w:tcPr>
          <w:p>
            <w:pPr>
              <w:widowControl/>
              <w:spacing w:line="270" w:lineRule="atLeast"/>
              <w:jc w:val="center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0"/>
              </w:rPr>
              <w:t>合同签定后：</w:t>
            </w:r>
            <w:r>
              <w:rPr>
                <w:rFonts w:hint="eastAsia"/>
                <w:spacing w:val="15"/>
                <w:kern w:val="0"/>
                <w:sz w:val="24"/>
                <w:szCs w:val="20"/>
              </w:rPr>
              <w:t xml:space="preserve">       </w:t>
            </w:r>
            <w:r>
              <w:rPr>
                <w:spacing w:val="15"/>
                <w:kern w:val="0"/>
                <w:sz w:val="24"/>
              </w:rPr>
              <w:t>日内</w:t>
            </w:r>
            <w:r>
              <w:rPr>
                <w:spacing w:val="15"/>
                <w:kern w:val="0"/>
                <w:sz w:val="24"/>
                <w:szCs w:val="20"/>
              </w:rPr>
              <w:t>到货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(必须在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  <w:lang w:val="en-US" w:eastAsia="zh-CN"/>
              </w:rPr>
              <w:t>3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月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  <w:lang w:val="en-US" w:eastAsia="zh-CN"/>
              </w:rPr>
              <w:t>30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日前供货)</w:t>
            </w:r>
          </w:p>
        </w:tc>
      </w:tr>
    </w:tbl>
    <w:p>
      <w:pPr>
        <w:widowControl/>
        <w:ind w:left="567" w:leftChars="270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/>
          <w:spacing w:val="15"/>
          <w:kern w:val="0"/>
          <w:sz w:val="28"/>
        </w:rPr>
        <w:t>报价联系人：                    联系电话：</w:t>
      </w:r>
    </w:p>
    <w:p>
      <w:pPr>
        <w:widowControl/>
        <w:ind w:right="685" w:rightChars="326"/>
        <w:jc w:val="right"/>
        <w:rPr>
          <w:rFonts w:hint="eastAsia" w:eastAsia="楷体_GB2312"/>
          <w:spacing w:val="15"/>
          <w:kern w:val="0"/>
          <w:sz w:val="24"/>
        </w:rPr>
      </w:pPr>
    </w:p>
    <w:p>
      <w:pPr>
        <w:widowControl/>
        <w:ind w:right="685" w:rightChars="326"/>
        <w:jc w:val="right"/>
        <w:rPr>
          <w:rFonts w:eastAsia="楷体_GB2312"/>
          <w:spacing w:val="15"/>
          <w:kern w:val="0"/>
          <w:sz w:val="24"/>
        </w:rPr>
      </w:pPr>
      <w:r>
        <w:rPr>
          <w:rFonts w:hint="eastAsia" w:eastAsia="楷体_GB2312"/>
          <w:spacing w:val="15"/>
          <w:kern w:val="0"/>
          <w:sz w:val="24"/>
        </w:rPr>
        <w:t>扬州高等职业技术学校</w:t>
      </w:r>
    </w:p>
    <w:p>
      <w:pPr>
        <w:widowControl/>
        <w:ind w:right="685" w:rightChars="326"/>
        <w:jc w:val="right"/>
        <w:rPr>
          <w:rFonts w:eastAsia="楷体_GB2312"/>
          <w:color w:val="FF0000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楷体_GB2312"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eastAsia="楷体_GB2312"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1年</w:t>
      </w:r>
      <w:r>
        <w:rPr>
          <w:rFonts w:hint="eastAsia" w:eastAsia="楷体_GB2312"/>
          <w:color w:val="000000" w:themeColor="text1"/>
          <w:spacing w:val="15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楷体_GB2312"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楷体_GB2312"/>
          <w:color w:val="000000" w:themeColor="text1"/>
          <w:spacing w:val="15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bookmarkStart w:id="0" w:name="_GoBack"/>
      <w:bookmarkEnd w:id="0"/>
      <w:r>
        <w:rPr>
          <w:rFonts w:eastAsia="楷体_GB2312"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日</w:t>
      </w:r>
    </w:p>
    <w:p>
      <w:pPr>
        <w:widowControl/>
        <w:ind w:right="685" w:rightChars="326"/>
        <w:jc w:val="right"/>
        <w:rPr>
          <w:rFonts w:eastAsia="楷体_GB2312"/>
          <w:color w:val="FF0000"/>
          <w:spacing w:val="15"/>
          <w:kern w:val="0"/>
          <w:sz w:val="24"/>
        </w:rPr>
      </w:pPr>
    </w:p>
    <w:p>
      <w:pPr>
        <w:widowControl/>
        <w:ind w:right="685" w:rightChars="326"/>
        <w:jc w:val="right"/>
        <w:rPr>
          <w:rFonts w:eastAsia="楷体_GB2312"/>
          <w:color w:val="FF0000"/>
          <w:spacing w:val="15"/>
          <w:kern w:val="0"/>
          <w:sz w:val="24"/>
        </w:rPr>
      </w:pP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附件： </w:t>
      </w:r>
    </w:p>
    <w:p>
      <w:pPr>
        <w:rPr>
          <w:rFonts w:ascii="宋体" w:hAnsi="宋体"/>
          <w:b/>
          <w:color w:val="0000FF"/>
          <w:sz w:val="24"/>
        </w:rPr>
      </w:pPr>
      <w:r>
        <w:rPr>
          <w:rFonts w:hint="eastAsia" w:ascii="宋体" w:hAnsi="宋体"/>
          <w:b/>
          <w:color w:val="0000FF"/>
          <w:sz w:val="24"/>
        </w:rPr>
        <w:t>附件中所有导线无特殊说明均要求为国标正品导线，每卷长度为100米。</w:t>
      </w:r>
      <w:r>
        <w:rPr>
          <w:rFonts w:ascii="宋体" w:hAnsi="宋体"/>
          <w:b/>
          <w:color w:val="0000FF"/>
          <w:sz w:val="24"/>
        </w:rPr>
        <w:t xml:space="preserve"> </w:t>
      </w:r>
    </w:p>
    <w:p>
      <w:pPr>
        <w:topLinePunct/>
        <w:adjustRightInd w:val="0"/>
        <w:snapToGrid w:val="0"/>
        <w:spacing w:line="360" w:lineRule="auto"/>
        <w:rPr>
          <w:sz w:val="24"/>
        </w:rPr>
      </w:pPr>
    </w:p>
    <w:p>
      <w:pPr>
        <w:topLinePunct/>
        <w:adjustRightInd w:val="0"/>
        <w:snapToGrid w:val="0"/>
        <w:spacing w:line="360" w:lineRule="auto"/>
        <w:rPr>
          <w:b/>
          <w:color w:val="FF0000"/>
          <w:sz w:val="28"/>
          <w:szCs w:val="28"/>
        </w:rPr>
      </w:pPr>
      <w:r>
        <w:rPr>
          <w:rFonts w:hint="eastAsia"/>
          <w:b/>
          <w:sz w:val="28"/>
          <w:szCs w:val="28"/>
        </w:rPr>
        <w:t>项目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、数字抢答器套件</w:t>
      </w:r>
      <w:r>
        <w:rPr>
          <w:b/>
          <w:sz w:val="28"/>
          <w:szCs w:val="28"/>
        </w:rPr>
        <w:t>240</w:t>
      </w:r>
      <w:r>
        <w:rPr>
          <w:rFonts w:hint="eastAsia"/>
          <w:b/>
          <w:sz w:val="28"/>
          <w:szCs w:val="28"/>
        </w:rPr>
        <w:t xml:space="preserve">套 </w:t>
      </w:r>
      <w:r>
        <w:rPr>
          <w:b/>
          <w:sz w:val="28"/>
          <w:szCs w:val="28"/>
        </w:rPr>
        <w:t xml:space="preserve"> </w:t>
      </w:r>
    </w:p>
    <w:tbl>
      <w:tblPr>
        <w:tblStyle w:val="16"/>
        <w:tblW w:w="7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286"/>
        <w:gridCol w:w="1356"/>
        <w:gridCol w:w="1121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28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元器件名称</w:t>
            </w:r>
          </w:p>
        </w:tc>
        <w:tc>
          <w:tcPr>
            <w:tcW w:w="135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112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208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28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集成块74LS148</w:t>
            </w:r>
            <w:r>
              <w:rPr>
                <w:rFonts w:hint="eastAsia" w:ascii="宋体" w:hAnsi="宋体"/>
                <w:color w:val="FF0000"/>
                <w:szCs w:val="21"/>
              </w:rPr>
              <w:t>N</w:t>
            </w:r>
          </w:p>
        </w:tc>
        <w:tc>
          <w:tcPr>
            <w:tcW w:w="135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只</w:t>
            </w:r>
          </w:p>
        </w:tc>
        <w:tc>
          <w:tcPr>
            <w:tcW w:w="1121" w:type="dxa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2081" w:type="dxa"/>
            <w:vMerge w:val="restart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8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集成块74LS279</w:t>
            </w:r>
          </w:p>
        </w:tc>
        <w:tc>
          <w:tcPr>
            <w:tcW w:w="135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只</w:t>
            </w:r>
          </w:p>
        </w:tc>
        <w:tc>
          <w:tcPr>
            <w:tcW w:w="1121" w:type="dxa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2081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28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集成块74LS48</w:t>
            </w:r>
          </w:p>
        </w:tc>
        <w:tc>
          <w:tcPr>
            <w:tcW w:w="135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只</w:t>
            </w:r>
          </w:p>
        </w:tc>
        <w:tc>
          <w:tcPr>
            <w:tcW w:w="1121" w:type="dxa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2081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28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共阴7段数码管</w:t>
            </w:r>
          </w:p>
        </w:tc>
        <w:tc>
          <w:tcPr>
            <w:tcW w:w="135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只</w:t>
            </w:r>
          </w:p>
        </w:tc>
        <w:tc>
          <w:tcPr>
            <w:tcW w:w="112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081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28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电阻10K</w:t>
            </w:r>
            <w:r>
              <w:rPr>
                <w:rFonts w:ascii="宋体" w:hAnsi="宋体"/>
                <w:szCs w:val="21"/>
              </w:rPr>
              <w:t>Ω</w:t>
            </w:r>
          </w:p>
        </w:tc>
        <w:tc>
          <w:tcPr>
            <w:tcW w:w="135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112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2081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28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电阻510</w:t>
            </w:r>
            <w:r>
              <w:rPr>
                <w:rFonts w:ascii="宋体" w:hAnsi="宋体"/>
                <w:szCs w:val="21"/>
              </w:rPr>
              <w:t>Ω</w:t>
            </w:r>
          </w:p>
        </w:tc>
        <w:tc>
          <w:tcPr>
            <w:tcW w:w="135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112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081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28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电阻10</w:t>
            </w:r>
            <w:r>
              <w:rPr>
                <w:rFonts w:ascii="宋体" w:hAnsi="宋体"/>
                <w:szCs w:val="21"/>
              </w:rPr>
              <w:t>Ω</w:t>
            </w:r>
          </w:p>
        </w:tc>
        <w:tc>
          <w:tcPr>
            <w:tcW w:w="135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112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081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228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发光二极管</w:t>
            </w:r>
          </w:p>
        </w:tc>
        <w:tc>
          <w:tcPr>
            <w:tcW w:w="135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只</w:t>
            </w:r>
          </w:p>
        </w:tc>
        <w:tc>
          <w:tcPr>
            <w:tcW w:w="112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081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228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集成块插座16脚</w:t>
            </w:r>
          </w:p>
        </w:tc>
        <w:tc>
          <w:tcPr>
            <w:tcW w:w="135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只</w:t>
            </w:r>
          </w:p>
        </w:tc>
        <w:tc>
          <w:tcPr>
            <w:tcW w:w="112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081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228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按钮</w:t>
            </w:r>
          </w:p>
        </w:tc>
        <w:tc>
          <w:tcPr>
            <w:tcW w:w="135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112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2081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228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万能电路板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(10×15cm独立孔)</w:t>
            </w:r>
          </w:p>
        </w:tc>
        <w:tc>
          <w:tcPr>
            <w:tcW w:w="135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块</w:t>
            </w:r>
          </w:p>
        </w:tc>
        <w:tc>
          <w:tcPr>
            <w:tcW w:w="112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081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/>
    <w:p>
      <w:pPr>
        <w:rPr>
          <w:b/>
        </w:rPr>
      </w:pPr>
      <w:r>
        <w:rPr>
          <w:rFonts w:hint="eastAsia"/>
          <w:b/>
          <w:sz w:val="28"/>
          <w:szCs w:val="28"/>
        </w:rPr>
        <w:t>项目2：</w:t>
      </w:r>
      <w:r>
        <w:rPr>
          <w:rFonts w:hint="eastAsia" w:ascii="宋体" w:hAnsi="宋体" w:cs="宋体"/>
          <w:b/>
          <w:kern w:val="0"/>
          <w:sz w:val="28"/>
          <w:szCs w:val="28"/>
        </w:rPr>
        <w:t xml:space="preserve">焊接实训练习用 </w:t>
      </w: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 w:val="24"/>
        </w:rPr>
        <w:t xml:space="preserve">电路板   500块  </w:t>
      </w:r>
      <w:r>
        <w:rPr>
          <w:rFonts w:hint="eastAsia" w:ascii="宋体" w:hAnsi="宋体" w:cs="宋体"/>
          <w:kern w:val="0"/>
          <w:szCs w:val="21"/>
        </w:rPr>
        <w:t>(10CM *15CM)</w:t>
      </w:r>
      <w:r>
        <w:rPr>
          <w:rFonts w:hint="eastAsia" w:ascii="宋体" w:hAnsi="宋体" w:cs="宋体"/>
          <w:szCs w:val="21"/>
        </w:rPr>
        <w:t xml:space="preserve"> 独立孔 </w:t>
      </w:r>
      <w:r>
        <w:rPr>
          <w:rFonts w:ascii="宋体" w:hAnsi="宋体" w:cs="宋体"/>
          <w:szCs w:val="21"/>
        </w:rPr>
        <w:t xml:space="preserve"> 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元器件 ：电阻、二极管（一批，电阻60盒，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二极管 </w:t>
      </w:r>
      <w:r>
        <w:rPr>
          <w:rFonts w:ascii="宋体" w:hAnsi="宋体" w:cs="宋体"/>
          <w:color w:val="auto"/>
          <w:kern w:val="0"/>
          <w:sz w:val="24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</w:rPr>
        <w:t>20盒</w:t>
      </w:r>
      <w:r>
        <w:rPr>
          <w:rFonts w:hint="eastAsia" w:ascii="宋体" w:hAnsi="宋体" w:cs="宋体"/>
          <w:kern w:val="0"/>
          <w:sz w:val="24"/>
        </w:rPr>
        <w:t>）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>3.</w:t>
      </w:r>
      <w:r>
        <w:rPr>
          <w:rFonts w:hint="eastAsia" w:ascii="宋体" w:hAnsi="宋体" w:cs="宋体"/>
          <w:b/>
          <w:kern w:val="0"/>
          <w:sz w:val="24"/>
        </w:rPr>
        <w:t>导线：　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江扬牌国标</w:t>
      </w:r>
      <w:r>
        <w:rPr>
          <w:rFonts w:ascii="宋体" w:hAnsi="宋体" w:cs="宋体"/>
          <w:b/>
          <w:kern w:val="0"/>
          <w:sz w:val="24"/>
        </w:rPr>
        <w:t>RVB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24"/>
        </w:rPr>
        <w:t>4</w:t>
      </w:r>
      <w:r>
        <w:rPr>
          <w:rFonts w:hint="eastAsia" w:ascii="宋体" w:hAnsi="宋体" w:cs="宋体"/>
          <w:kern w:val="0"/>
          <w:sz w:val="24"/>
        </w:rPr>
        <w:t xml:space="preserve"> mm</w:t>
      </w:r>
      <w:r>
        <w:rPr>
          <w:rFonts w:hint="eastAsia" w:ascii="宋体" w:hAnsi="宋体" w:cs="宋体"/>
          <w:kern w:val="0"/>
          <w:sz w:val="24"/>
          <w:vertAlign w:val="superscript"/>
        </w:rPr>
        <w:t>2</w:t>
      </w:r>
      <w:r>
        <w:rPr>
          <w:rFonts w:hint="eastAsia" w:ascii="宋体" w:hAnsi="宋体" w:cs="宋体"/>
          <w:b/>
          <w:kern w:val="0"/>
          <w:sz w:val="24"/>
        </w:rPr>
        <w:t>多股导线(19股)　2卷，</w:t>
      </w:r>
    </w:p>
    <w:p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插座面板（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二位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10孔，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国际电工GN-5C-02 10A 250V～，</w:t>
      </w:r>
      <w:r>
        <w:rPr>
          <w:rFonts w:hint="eastAsia"/>
          <w:b/>
          <w:color w:val="FF0000"/>
          <w:sz w:val="24"/>
        </w:rPr>
        <w:t>对接原实训台安装孔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）　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0只</w:t>
      </w:r>
    </w:p>
    <w:p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参考网址：</w:t>
      </w:r>
    </w:p>
    <w:p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https://item.taobao.com/item.htm?spm=a1z09.2.0.0.73942e8dVU3iKK&amp;id=526437533286&amp;_u=qku760b135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0"/>
        <w:rPr>
          <w:rFonts w:hint="eastAsia" w:ascii="宋体" w:hAnsi="宋体" w:cs="宋体"/>
          <w:b/>
          <w:kern w:val="0"/>
          <w:sz w:val="24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0"/>
        <w:rPr>
          <w:rFonts w:hint="eastAsia" w:ascii="Tahoma" w:hAnsi="Tahoma" w:cs="Tahoma"/>
          <w:b/>
          <w:i w:val="0"/>
          <w:caps w:val="0"/>
          <w:color w:val="3C3C3C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>5.</w:t>
      </w:r>
      <w:r>
        <w:rPr>
          <w:rFonts w:hint="default" w:ascii="Tahoma" w:hAnsi="Tahoma" w:eastAsia="Tahoma" w:cs="Tahoma"/>
          <w:b/>
          <w:i w:val="0"/>
          <w:caps w:val="0"/>
          <w:color w:val="3C3C3C"/>
          <w:spacing w:val="0"/>
          <w:sz w:val="19"/>
          <w:szCs w:val="19"/>
          <w:shd w:val="clear" w:fill="FFFFFF"/>
        </w:rPr>
        <w:t>86型暗装开关风机吊扇调速器220V无级无极变速电风扇风机调速面板</w:t>
      </w:r>
      <w:r>
        <w:rPr>
          <w:rFonts w:hint="eastAsia" w:ascii="Tahoma" w:hAnsi="Tahoma" w:cs="Tahoma"/>
          <w:b/>
          <w:i w:val="0"/>
          <w:caps w:val="0"/>
          <w:color w:val="3C3C3C"/>
          <w:spacing w:val="0"/>
          <w:sz w:val="19"/>
          <w:szCs w:val="19"/>
          <w:shd w:val="clear" w:fill="FFFFFF"/>
          <w:lang w:val="en-US" w:eastAsia="zh-CN"/>
        </w:rPr>
        <w:t xml:space="preserve">     2只</w:t>
      </w:r>
    </w:p>
    <w:p>
      <w:pPr>
        <w:rPr>
          <w:rFonts w:hint="eastAsia" w:ascii="Tahoma" w:hAnsi="Tahoma" w:cs="Tahoma"/>
          <w:b/>
          <w:i w:val="0"/>
          <w:caps w:val="0"/>
          <w:color w:val="3C3C3C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Tahoma" w:hAnsi="Tahoma" w:cs="Tahoma"/>
          <w:b/>
          <w:i w:val="0"/>
          <w:caps w:val="0"/>
          <w:color w:val="3C3C3C"/>
          <w:spacing w:val="0"/>
          <w:sz w:val="19"/>
          <w:szCs w:val="19"/>
          <w:shd w:val="clear" w:fill="FFFFFF"/>
          <w:lang w:val="en-US" w:eastAsia="zh-CN"/>
        </w:rPr>
        <w:t xml:space="preserve">  参考网址：</w:t>
      </w:r>
    </w:p>
    <w:p>
      <w:pPr>
        <w:rPr>
          <w:rFonts w:hint="eastAsia" w:ascii="Tahoma" w:hAnsi="Tahoma" w:cs="Tahoma"/>
          <w:b/>
          <w:i w:val="0"/>
          <w:caps w:val="0"/>
          <w:color w:val="3C3C3C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Tahoma" w:hAnsi="Tahoma" w:cs="Tahoma"/>
          <w:b/>
          <w:i w:val="0"/>
          <w:caps w:val="0"/>
          <w:color w:val="3C3C3C"/>
          <w:spacing w:val="0"/>
          <w:sz w:val="19"/>
          <w:szCs w:val="19"/>
          <w:shd w:val="clear" w:fill="FFFFFF"/>
          <w:lang w:val="en-US" w:eastAsia="zh-CN"/>
        </w:rPr>
        <w:fldChar w:fldCharType="begin"/>
      </w:r>
      <w:r>
        <w:rPr>
          <w:rFonts w:hint="eastAsia" w:ascii="Tahoma" w:hAnsi="Tahoma" w:cs="Tahoma"/>
          <w:b/>
          <w:i w:val="0"/>
          <w:caps w:val="0"/>
          <w:color w:val="3C3C3C"/>
          <w:spacing w:val="0"/>
          <w:sz w:val="19"/>
          <w:szCs w:val="19"/>
          <w:shd w:val="clear" w:fill="FFFFFF"/>
          <w:lang w:val="en-US" w:eastAsia="zh-CN"/>
        </w:rPr>
        <w:instrText xml:space="preserve"> HYPERLINK "https://item.taobao.com/item.htm?spm=a1z0d.6639537.1997196601.616.70757484rCqYn2&amp;id=608927583153" </w:instrText>
      </w:r>
      <w:r>
        <w:rPr>
          <w:rFonts w:hint="eastAsia" w:ascii="Tahoma" w:hAnsi="Tahoma" w:cs="Tahoma"/>
          <w:b/>
          <w:i w:val="0"/>
          <w:caps w:val="0"/>
          <w:color w:val="3C3C3C"/>
          <w:spacing w:val="0"/>
          <w:sz w:val="19"/>
          <w:szCs w:val="19"/>
          <w:shd w:val="clear" w:fill="FFFFFF"/>
          <w:lang w:val="en-US" w:eastAsia="zh-CN"/>
        </w:rPr>
        <w:fldChar w:fldCharType="separate"/>
      </w:r>
      <w:r>
        <w:rPr>
          <w:rStyle w:val="21"/>
          <w:rFonts w:hint="eastAsia" w:ascii="Tahoma" w:hAnsi="Tahoma" w:cs="Tahoma"/>
          <w:b/>
          <w:i w:val="0"/>
          <w:caps w:val="0"/>
          <w:color w:val="3C3C3C"/>
          <w:spacing w:val="0"/>
          <w:sz w:val="19"/>
          <w:szCs w:val="19"/>
          <w:shd w:val="clear" w:fill="FFFFFF"/>
          <w:lang w:val="en-US" w:eastAsia="zh-CN"/>
        </w:rPr>
        <w:t>https://item.taobao.com/item.htm?spm=a1z0d.6639537.1997196601.616.70757484rCqYn2&amp;id=608927583153</w:t>
      </w:r>
      <w:r>
        <w:rPr>
          <w:rFonts w:hint="eastAsia" w:ascii="Tahoma" w:hAnsi="Tahoma" w:cs="Tahoma"/>
          <w:b/>
          <w:i w:val="0"/>
          <w:caps w:val="0"/>
          <w:color w:val="3C3C3C"/>
          <w:spacing w:val="0"/>
          <w:sz w:val="19"/>
          <w:szCs w:val="19"/>
          <w:shd w:val="clear" w:fill="FFFFFF"/>
          <w:lang w:val="en-US" w:eastAsia="zh-CN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0"/>
        <w:rPr>
          <w:rFonts w:hint="eastAsia" w:ascii="Tahoma" w:hAnsi="Tahoma" w:cs="Tahoma"/>
          <w:b/>
          <w:i w:val="0"/>
          <w:caps w:val="0"/>
          <w:color w:val="3C3C3C"/>
          <w:spacing w:val="0"/>
          <w:sz w:val="19"/>
          <w:szCs w:val="19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0"/>
        <w:rPr>
          <w:rFonts w:hint="eastAsia" w:ascii="Tahoma" w:hAnsi="Tahoma" w:eastAsia="宋体" w:cs="Tahoma"/>
          <w:b/>
          <w:i w:val="0"/>
          <w:caps w:val="0"/>
          <w:color w:val="3C3C3C"/>
          <w:spacing w:val="0"/>
          <w:sz w:val="19"/>
          <w:szCs w:val="19"/>
          <w:lang w:val="en-US" w:eastAsia="zh-CN"/>
        </w:rPr>
      </w:pPr>
      <w:r>
        <w:rPr>
          <w:rFonts w:hint="eastAsia" w:ascii="Tahoma" w:hAnsi="Tahoma" w:cs="Tahoma"/>
          <w:b/>
          <w:i w:val="0"/>
          <w:caps w:val="0"/>
          <w:color w:val="3C3C3C"/>
          <w:spacing w:val="0"/>
          <w:sz w:val="19"/>
          <w:szCs w:val="19"/>
          <w:shd w:val="clear" w:fill="FFFFFF"/>
          <w:lang w:val="en-US" w:eastAsia="zh-CN"/>
        </w:rPr>
        <w:t>6.</w:t>
      </w:r>
      <w:r>
        <w:rPr>
          <w:rFonts w:hint="default" w:ascii="Tahoma" w:hAnsi="Tahoma" w:eastAsia="Tahoma" w:cs="Tahoma"/>
          <w:b/>
          <w:i w:val="0"/>
          <w:caps w:val="0"/>
          <w:color w:val="3C3C3C"/>
          <w:spacing w:val="0"/>
          <w:sz w:val="19"/>
          <w:szCs w:val="19"/>
          <w:shd w:val="clear" w:fill="FFFFFF"/>
        </w:rPr>
        <w:t>海联牌731高效复活剂清洁润滑剂电子电器开关触点电位器清洗除锈</w:t>
      </w:r>
      <w:r>
        <w:rPr>
          <w:rFonts w:hint="eastAsia" w:ascii="Tahoma" w:hAnsi="Tahoma" w:cs="Tahoma"/>
          <w:b/>
          <w:i w:val="0"/>
          <w:caps w:val="0"/>
          <w:color w:val="3C3C3C"/>
          <w:spacing w:val="0"/>
          <w:sz w:val="19"/>
          <w:szCs w:val="19"/>
          <w:shd w:val="clear" w:fill="FFFFFF"/>
          <w:lang w:val="en-US" w:eastAsia="zh-CN"/>
        </w:rPr>
        <w:t xml:space="preserve">     2瓶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/>
          <w:kern w:val="0"/>
          <w:sz w:val="24"/>
        </w:rPr>
      </w:pPr>
    </w:p>
    <w:p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项目3</w:t>
      </w:r>
      <w:r>
        <w:rPr>
          <w:rFonts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cs="宋体"/>
          <w:b/>
          <w:kern w:val="0"/>
          <w:sz w:val="24"/>
        </w:rPr>
        <w:t xml:space="preserve">：常用实训材料 </w:t>
      </w:r>
      <w:r>
        <w:rPr>
          <w:rFonts w:ascii="宋体" w:hAnsi="宋体" w:cs="宋体"/>
          <w:b/>
          <w:kern w:val="0"/>
          <w:sz w:val="24"/>
        </w:rPr>
        <w:t xml:space="preserve">   </w:t>
      </w:r>
    </w:p>
    <w:p>
      <w:pPr>
        <w:pStyle w:val="114"/>
        <w:numPr>
          <w:ilvl w:val="0"/>
          <w:numId w:val="2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绝缘胶布（必胜牌，20米） 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0卷</w:t>
      </w:r>
    </w:p>
    <w:p>
      <w:pPr>
        <w:pStyle w:val="114"/>
        <w:numPr>
          <w:ilvl w:val="0"/>
          <w:numId w:val="2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4"/>
        </w:rPr>
        <w:t xml:space="preserve">插座面板 </w:t>
      </w:r>
      <w:r>
        <w:rPr>
          <w:b/>
          <w:sz w:val="24"/>
        </w:rPr>
        <w:t xml:space="preserve">  15</w:t>
      </w:r>
      <w:r>
        <w:rPr>
          <w:rFonts w:hint="eastAsia"/>
          <w:b/>
          <w:sz w:val="24"/>
        </w:rPr>
        <w:t xml:space="preserve">个 </w:t>
      </w:r>
    </w:p>
    <w:p>
      <w:pPr>
        <w:keepNext w:val="0"/>
        <w:keepLines w:val="0"/>
        <w:widowControl/>
        <w:suppressLineNumbers w:val="0"/>
        <w:ind w:firstLine="720" w:firstLineChars="300"/>
        <w:jc w:val="left"/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公牛插座带线插板面板  6插位，3米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,型号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GN603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ind w:firstLine="720" w:firstLineChars="300"/>
        <w:jc w:val="left"/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参考网址：https://detail.tmall.com/item.htm?id=599836073447&amp;ali_refid=a3_430673_1006:1122737861:N:aHtgzeUoF3uENshQR03Sng==:64eac7705003cdc57f00cf367035cc0e&amp;ali_trackid=1_64eac7705003cdc57f00cf367035cc0e&amp;spm=a2e0b.20350158.31919782.2&amp;skuId=4572585744320#</w:t>
      </w:r>
    </w:p>
    <w:p>
      <w:pPr>
        <w:pStyle w:val="114"/>
        <w:numPr>
          <w:ilvl w:val="0"/>
          <w:numId w:val="2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4"/>
        </w:rPr>
        <w:t xml:space="preserve">电池 </w:t>
      </w:r>
      <w:r>
        <w:rPr>
          <w:b/>
          <w:sz w:val="24"/>
        </w:rPr>
        <w:t xml:space="preserve"> </w:t>
      </w:r>
    </w:p>
    <w:p>
      <w:pPr>
        <w:pStyle w:val="114"/>
        <w:ind w:left="645" w:firstLine="0" w:firstLineChars="0"/>
        <w:rPr>
          <w:b/>
          <w:sz w:val="24"/>
        </w:rPr>
      </w:pPr>
      <w:r>
        <w:rPr>
          <w:rFonts w:hint="eastAsia"/>
          <w:b/>
          <w:sz w:val="24"/>
        </w:rPr>
        <w:t>南孚</w:t>
      </w:r>
      <w:r>
        <w:rPr>
          <w:rFonts w:hint="eastAsia"/>
          <w:b/>
          <w:sz w:val="24"/>
          <w:lang w:eastAsia="zh-CN"/>
        </w:rPr>
        <w:t>碱性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5</w:t>
      </w:r>
      <w:r>
        <w:rPr>
          <w:rFonts w:hint="eastAsia"/>
          <w:b/>
          <w:sz w:val="24"/>
        </w:rPr>
        <w:t xml:space="preserve">号 </w:t>
      </w:r>
      <w:r>
        <w:rPr>
          <w:b/>
          <w:sz w:val="24"/>
        </w:rPr>
        <w:t xml:space="preserve">  40</w:t>
      </w:r>
      <w:r>
        <w:rPr>
          <w:rFonts w:hint="eastAsia"/>
          <w:b/>
          <w:sz w:val="24"/>
        </w:rPr>
        <w:t xml:space="preserve">粒 </w:t>
      </w:r>
      <w:r>
        <w:rPr>
          <w:b/>
          <w:sz w:val="24"/>
        </w:rPr>
        <w:t xml:space="preserve">  </w:t>
      </w:r>
    </w:p>
    <w:p>
      <w:pPr>
        <w:pStyle w:val="114"/>
        <w:ind w:left="645" w:firstLine="0" w:firstLineChars="0"/>
        <w:rPr>
          <w:b/>
          <w:sz w:val="24"/>
        </w:rPr>
      </w:pPr>
      <w:r>
        <w:rPr>
          <w:rFonts w:hint="eastAsia"/>
          <w:b/>
          <w:sz w:val="24"/>
        </w:rPr>
        <w:t>南孚</w:t>
      </w:r>
      <w:r>
        <w:rPr>
          <w:rFonts w:hint="eastAsia"/>
          <w:b/>
          <w:sz w:val="24"/>
          <w:lang w:eastAsia="zh-CN"/>
        </w:rPr>
        <w:t>碱性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7</w:t>
      </w:r>
      <w:r>
        <w:rPr>
          <w:rFonts w:hint="eastAsia"/>
          <w:b/>
          <w:sz w:val="24"/>
        </w:rPr>
        <w:t xml:space="preserve">号 </w:t>
      </w:r>
      <w:r>
        <w:rPr>
          <w:b/>
          <w:sz w:val="24"/>
        </w:rPr>
        <w:t xml:space="preserve">  20</w:t>
      </w:r>
      <w:r>
        <w:rPr>
          <w:rFonts w:hint="eastAsia"/>
          <w:b/>
          <w:sz w:val="24"/>
        </w:rPr>
        <w:t xml:space="preserve">粒 </w:t>
      </w:r>
      <w:r>
        <w:rPr>
          <w:b/>
          <w:sz w:val="24"/>
        </w:rPr>
        <w:t xml:space="preserve">  </w:t>
      </w:r>
    </w:p>
    <w:p>
      <w:pPr>
        <w:pStyle w:val="114"/>
        <w:ind w:left="645" w:firstLine="0" w:firstLineChars="0"/>
        <w:rPr>
          <w:b/>
          <w:sz w:val="24"/>
        </w:rPr>
      </w:pPr>
      <w:r>
        <w:rPr>
          <w:rFonts w:hint="eastAsia"/>
          <w:b/>
          <w:sz w:val="24"/>
        </w:rPr>
        <w:t>南孚</w:t>
      </w:r>
      <w:r>
        <w:rPr>
          <w:rFonts w:hint="eastAsia"/>
          <w:b/>
          <w:sz w:val="24"/>
          <w:lang w:eastAsia="zh-CN"/>
        </w:rPr>
        <w:t>碱性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9V</w:t>
      </w:r>
      <w:r>
        <w:rPr>
          <w:rFonts w:hint="eastAsia"/>
          <w:b/>
          <w:sz w:val="24"/>
        </w:rPr>
        <w:t xml:space="preserve">电池 </w:t>
      </w:r>
      <w:r>
        <w:rPr>
          <w:b/>
          <w:sz w:val="24"/>
        </w:rPr>
        <w:t xml:space="preserve"> 20</w:t>
      </w:r>
      <w:r>
        <w:rPr>
          <w:rFonts w:hint="eastAsia"/>
          <w:b/>
          <w:sz w:val="24"/>
        </w:rPr>
        <w:t xml:space="preserve">粒 </w:t>
      </w:r>
      <w:r>
        <w:rPr>
          <w:b/>
          <w:sz w:val="24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宋体"/>
          <w:b/>
          <w:color w:val="FF0000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项目4：模电课程实习材料</w:t>
      </w:r>
    </w:p>
    <w:tbl>
      <w:tblPr>
        <w:tblStyle w:val="15"/>
        <w:tblW w:w="680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135"/>
        <w:gridCol w:w="1134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分立元件放大电路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15k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10k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50k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2k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600个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电解电容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10UF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47UF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三极管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电位器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50k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集成运放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22k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20k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220k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2k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10k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400个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1M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电解电容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4.7UF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47UF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22UF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运放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UA741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底座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8引脚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整流二极管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稳压二极管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发光二极管（红）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发光二极管（绿）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万能电路板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(10×15cm独立孔)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三极管9015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100个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</w:p>
    <w:p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</w:p>
    <w:p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</w:p>
    <w:p>
      <w:pPr>
        <w:widowControl/>
        <w:spacing w:line="360" w:lineRule="auto"/>
        <w:jc w:val="left"/>
        <w:rPr>
          <w:rFonts w:ascii="宋体" w:hAnsi="宋体" w:cs="宋体"/>
          <w:b/>
          <w:color w:val="FF0000"/>
          <w:kern w:val="0"/>
          <w:sz w:val="24"/>
        </w:rPr>
      </w:pP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项目5：智能家居训练耗材</w:t>
      </w:r>
    </w:p>
    <w:tbl>
      <w:tblPr>
        <w:tblStyle w:val="15"/>
        <w:tblW w:w="8364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4111"/>
        <w:gridCol w:w="1701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数目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红黑线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RVB 2*0.5（红黑双股线）非标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信号线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AVR0.3多股软线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网线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安普安信超五类双绞线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1箱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水晶头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tf1013c（100个/盒）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6盒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扎线带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5*350mm（250条/袋）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扎线带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4*200mm（500条/袋）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M3螺丝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M3*14（55个/袋）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M3螺母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（50个/袋）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M4螺丝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M4*16（65个/袋）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M4螺母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（50个/袋）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M3垫片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M3*7*0.5（100个/袋）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M4垫片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M4*9*0.8（100个/袋）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压线帽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CE-2X（1000个/袋）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电工胶带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宽16mm，厚0.16mm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b/>
          <w:bCs/>
          <w:sz w:val="32"/>
          <w:szCs w:val="32"/>
        </w:rPr>
      </w:pPr>
    </w:p>
    <w:p/>
    <w:p>
      <w:pPr>
        <w:rPr>
          <w:b/>
          <w:sz w:val="28"/>
          <w:szCs w:val="28"/>
        </w:rPr>
      </w:pPr>
    </w:p>
    <w:p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sectPr>
      <w:headerReference r:id="rId3" w:type="default"/>
      <w:pgSz w:w="11907" w:h="16840"/>
      <w:pgMar w:top="1440" w:right="1077" w:bottom="1134" w:left="1077" w:header="851" w:footer="425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中等线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21ACE"/>
    <w:multiLevelType w:val="multilevel"/>
    <w:tmpl w:val="33021ACE"/>
    <w:lvl w:ilvl="0" w:tentative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5" w:hanging="420"/>
      </w:pPr>
    </w:lvl>
    <w:lvl w:ilvl="2" w:tentative="0">
      <w:start w:val="1"/>
      <w:numFmt w:val="lowerRoman"/>
      <w:lvlText w:val="%3."/>
      <w:lvlJc w:val="right"/>
      <w:pPr>
        <w:ind w:left="1545" w:hanging="420"/>
      </w:pPr>
    </w:lvl>
    <w:lvl w:ilvl="3" w:tentative="0">
      <w:start w:val="1"/>
      <w:numFmt w:val="decimal"/>
      <w:lvlText w:val="%4."/>
      <w:lvlJc w:val="left"/>
      <w:pPr>
        <w:ind w:left="1965" w:hanging="420"/>
      </w:pPr>
    </w:lvl>
    <w:lvl w:ilvl="4" w:tentative="0">
      <w:start w:val="1"/>
      <w:numFmt w:val="lowerLetter"/>
      <w:lvlText w:val="%5)"/>
      <w:lvlJc w:val="left"/>
      <w:pPr>
        <w:ind w:left="2385" w:hanging="420"/>
      </w:pPr>
    </w:lvl>
    <w:lvl w:ilvl="5" w:tentative="0">
      <w:start w:val="1"/>
      <w:numFmt w:val="lowerRoman"/>
      <w:lvlText w:val="%6."/>
      <w:lvlJc w:val="right"/>
      <w:pPr>
        <w:ind w:left="2805" w:hanging="420"/>
      </w:pPr>
    </w:lvl>
    <w:lvl w:ilvl="6" w:tentative="0">
      <w:start w:val="1"/>
      <w:numFmt w:val="decimal"/>
      <w:lvlText w:val="%7."/>
      <w:lvlJc w:val="left"/>
      <w:pPr>
        <w:ind w:left="3225" w:hanging="420"/>
      </w:pPr>
    </w:lvl>
    <w:lvl w:ilvl="7" w:tentative="0">
      <w:start w:val="1"/>
      <w:numFmt w:val="lowerLetter"/>
      <w:lvlText w:val="%8)"/>
      <w:lvlJc w:val="left"/>
      <w:pPr>
        <w:ind w:left="3645" w:hanging="420"/>
      </w:pPr>
    </w:lvl>
    <w:lvl w:ilvl="8" w:tentative="0">
      <w:start w:val="1"/>
      <w:numFmt w:val="lowerRoman"/>
      <w:lvlText w:val="%9."/>
      <w:lvlJc w:val="right"/>
      <w:pPr>
        <w:ind w:left="4065" w:hanging="420"/>
      </w:pPr>
    </w:lvl>
  </w:abstractNum>
  <w:abstractNum w:abstractNumId="1">
    <w:nsid w:val="5FCDDD1B"/>
    <w:multiLevelType w:val="singleLevel"/>
    <w:tmpl w:val="5FCDDD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987"/>
    <w:rsid w:val="00027471"/>
    <w:rsid w:val="000422C1"/>
    <w:rsid w:val="00042B0A"/>
    <w:rsid w:val="000A114E"/>
    <w:rsid w:val="000B3640"/>
    <w:rsid w:val="000B51EE"/>
    <w:rsid w:val="000C3814"/>
    <w:rsid w:val="000D0356"/>
    <w:rsid w:val="000E7B50"/>
    <w:rsid w:val="001125C5"/>
    <w:rsid w:val="001167F9"/>
    <w:rsid w:val="00127142"/>
    <w:rsid w:val="00141723"/>
    <w:rsid w:val="00163AAB"/>
    <w:rsid w:val="00172A27"/>
    <w:rsid w:val="00185142"/>
    <w:rsid w:val="001927AF"/>
    <w:rsid w:val="001A6072"/>
    <w:rsid w:val="001B55FA"/>
    <w:rsid w:val="001E1A82"/>
    <w:rsid w:val="001F66AD"/>
    <w:rsid w:val="00201F8C"/>
    <w:rsid w:val="0020533E"/>
    <w:rsid w:val="00206232"/>
    <w:rsid w:val="00271DAA"/>
    <w:rsid w:val="00284D43"/>
    <w:rsid w:val="002E1555"/>
    <w:rsid w:val="002E463B"/>
    <w:rsid w:val="003276F7"/>
    <w:rsid w:val="00333BAF"/>
    <w:rsid w:val="00341947"/>
    <w:rsid w:val="0035076B"/>
    <w:rsid w:val="00374B16"/>
    <w:rsid w:val="00384F74"/>
    <w:rsid w:val="00391412"/>
    <w:rsid w:val="0039487B"/>
    <w:rsid w:val="00394F04"/>
    <w:rsid w:val="003D394B"/>
    <w:rsid w:val="003D5513"/>
    <w:rsid w:val="004070B1"/>
    <w:rsid w:val="004114E8"/>
    <w:rsid w:val="0042464A"/>
    <w:rsid w:val="00444E31"/>
    <w:rsid w:val="00451FAE"/>
    <w:rsid w:val="004572E6"/>
    <w:rsid w:val="00464D0A"/>
    <w:rsid w:val="0046583A"/>
    <w:rsid w:val="004A40B3"/>
    <w:rsid w:val="004A5D00"/>
    <w:rsid w:val="004C3823"/>
    <w:rsid w:val="004C3BB6"/>
    <w:rsid w:val="004E3FFF"/>
    <w:rsid w:val="00507DED"/>
    <w:rsid w:val="00517F7B"/>
    <w:rsid w:val="0054198D"/>
    <w:rsid w:val="00545D11"/>
    <w:rsid w:val="005535D2"/>
    <w:rsid w:val="005539CE"/>
    <w:rsid w:val="00553EC7"/>
    <w:rsid w:val="005C39D6"/>
    <w:rsid w:val="005F41C3"/>
    <w:rsid w:val="00607554"/>
    <w:rsid w:val="0061523A"/>
    <w:rsid w:val="006338D9"/>
    <w:rsid w:val="00644014"/>
    <w:rsid w:val="006753FE"/>
    <w:rsid w:val="006D778A"/>
    <w:rsid w:val="007024E8"/>
    <w:rsid w:val="00710417"/>
    <w:rsid w:val="00711270"/>
    <w:rsid w:val="00733379"/>
    <w:rsid w:val="00735D3A"/>
    <w:rsid w:val="00742A06"/>
    <w:rsid w:val="007450F1"/>
    <w:rsid w:val="007624E9"/>
    <w:rsid w:val="00776F6C"/>
    <w:rsid w:val="00783A9A"/>
    <w:rsid w:val="0079267E"/>
    <w:rsid w:val="007E03A7"/>
    <w:rsid w:val="007E3767"/>
    <w:rsid w:val="007E3976"/>
    <w:rsid w:val="007F219C"/>
    <w:rsid w:val="007F44A6"/>
    <w:rsid w:val="007F67ED"/>
    <w:rsid w:val="00801E69"/>
    <w:rsid w:val="008111CA"/>
    <w:rsid w:val="008258AB"/>
    <w:rsid w:val="00833ED5"/>
    <w:rsid w:val="00834457"/>
    <w:rsid w:val="00834C2B"/>
    <w:rsid w:val="00851327"/>
    <w:rsid w:val="00853FD5"/>
    <w:rsid w:val="00856522"/>
    <w:rsid w:val="0086504B"/>
    <w:rsid w:val="008864C6"/>
    <w:rsid w:val="008962B0"/>
    <w:rsid w:val="008B3BCA"/>
    <w:rsid w:val="008C01CB"/>
    <w:rsid w:val="008E089E"/>
    <w:rsid w:val="008E71D2"/>
    <w:rsid w:val="00916913"/>
    <w:rsid w:val="009208D2"/>
    <w:rsid w:val="00926094"/>
    <w:rsid w:val="0095601E"/>
    <w:rsid w:val="009607BF"/>
    <w:rsid w:val="009634F1"/>
    <w:rsid w:val="009816A1"/>
    <w:rsid w:val="00983981"/>
    <w:rsid w:val="009A0C96"/>
    <w:rsid w:val="009A61DF"/>
    <w:rsid w:val="009B7C15"/>
    <w:rsid w:val="009F210D"/>
    <w:rsid w:val="00A01B0B"/>
    <w:rsid w:val="00A27B64"/>
    <w:rsid w:val="00A351B3"/>
    <w:rsid w:val="00A46AE5"/>
    <w:rsid w:val="00A47E35"/>
    <w:rsid w:val="00A55BFA"/>
    <w:rsid w:val="00A95D45"/>
    <w:rsid w:val="00A96CC8"/>
    <w:rsid w:val="00AA719E"/>
    <w:rsid w:val="00AB7792"/>
    <w:rsid w:val="00AC0C52"/>
    <w:rsid w:val="00AD2E04"/>
    <w:rsid w:val="00AD42B9"/>
    <w:rsid w:val="00AD6010"/>
    <w:rsid w:val="00B01BF9"/>
    <w:rsid w:val="00B112F3"/>
    <w:rsid w:val="00B23614"/>
    <w:rsid w:val="00B24039"/>
    <w:rsid w:val="00B56D78"/>
    <w:rsid w:val="00B966A2"/>
    <w:rsid w:val="00BA0054"/>
    <w:rsid w:val="00BA225A"/>
    <w:rsid w:val="00BB4AA2"/>
    <w:rsid w:val="00BC074C"/>
    <w:rsid w:val="00BC63E9"/>
    <w:rsid w:val="00BD5054"/>
    <w:rsid w:val="00BE7D8D"/>
    <w:rsid w:val="00BF50D8"/>
    <w:rsid w:val="00C130CF"/>
    <w:rsid w:val="00C3439D"/>
    <w:rsid w:val="00C55809"/>
    <w:rsid w:val="00C55DE5"/>
    <w:rsid w:val="00C73EAC"/>
    <w:rsid w:val="00C74B0A"/>
    <w:rsid w:val="00C91C6E"/>
    <w:rsid w:val="00D0474B"/>
    <w:rsid w:val="00D27857"/>
    <w:rsid w:val="00D86E73"/>
    <w:rsid w:val="00D926A2"/>
    <w:rsid w:val="00D966FB"/>
    <w:rsid w:val="00DA25AA"/>
    <w:rsid w:val="00DA5D0F"/>
    <w:rsid w:val="00DA5F78"/>
    <w:rsid w:val="00DB786D"/>
    <w:rsid w:val="00DC1D43"/>
    <w:rsid w:val="00DC2424"/>
    <w:rsid w:val="00DC6124"/>
    <w:rsid w:val="00DD1AD2"/>
    <w:rsid w:val="00E325F9"/>
    <w:rsid w:val="00E45CF5"/>
    <w:rsid w:val="00E8023B"/>
    <w:rsid w:val="00E841E2"/>
    <w:rsid w:val="00E85F8B"/>
    <w:rsid w:val="00E9449B"/>
    <w:rsid w:val="00E95A8C"/>
    <w:rsid w:val="00E97F8F"/>
    <w:rsid w:val="00EB7FA2"/>
    <w:rsid w:val="00ED2799"/>
    <w:rsid w:val="00ED3554"/>
    <w:rsid w:val="00EF3AF7"/>
    <w:rsid w:val="00F41307"/>
    <w:rsid w:val="00F44036"/>
    <w:rsid w:val="00F514C9"/>
    <w:rsid w:val="00F54B70"/>
    <w:rsid w:val="00F62FF7"/>
    <w:rsid w:val="00F83EA2"/>
    <w:rsid w:val="00F94062"/>
    <w:rsid w:val="00F9704C"/>
    <w:rsid w:val="00F97B8B"/>
    <w:rsid w:val="00FA4F50"/>
    <w:rsid w:val="00FA6FF7"/>
    <w:rsid w:val="00FB3BFA"/>
    <w:rsid w:val="00FB4784"/>
    <w:rsid w:val="00FC0FF8"/>
    <w:rsid w:val="00FC1B07"/>
    <w:rsid w:val="00FC63F2"/>
    <w:rsid w:val="00FD2E69"/>
    <w:rsid w:val="00FE443D"/>
    <w:rsid w:val="00FE4535"/>
    <w:rsid w:val="031F6326"/>
    <w:rsid w:val="06C76042"/>
    <w:rsid w:val="09BA00CE"/>
    <w:rsid w:val="0DFC4CB6"/>
    <w:rsid w:val="0E343343"/>
    <w:rsid w:val="105E5F59"/>
    <w:rsid w:val="11BD1542"/>
    <w:rsid w:val="1284312A"/>
    <w:rsid w:val="164F2D38"/>
    <w:rsid w:val="18CA57A7"/>
    <w:rsid w:val="1BD25B12"/>
    <w:rsid w:val="1FC54741"/>
    <w:rsid w:val="22700F1C"/>
    <w:rsid w:val="22D16998"/>
    <w:rsid w:val="251441BE"/>
    <w:rsid w:val="299C77B8"/>
    <w:rsid w:val="2BB21BDA"/>
    <w:rsid w:val="2C3C552D"/>
    <w:rsid w:val="2DE71657"/>
    <w:rsid w:val="2F891A72"/>
    <w:rsid w:val="31752E15"/>
    <w:rsid w:val="33177577"/>
    <w:rsid w:val="33A90090"/>
    <w:rsid w:val="342C2707"/>
    <w:rsid w:val="34DB3C3B"/>
    <w:rsid w:val="36BA33E8"/>
    <w:rsid w:val="38280C72"/>
    <w:rsid w:val="38693E88"/>
    <w:rsid w:val="3C3936E1"/>
    <w:rsid w:val="3EC3636F"/>
    <w:rsid w:val="416275E9"/>
    <w:rsid w:val="42504470"/>
    <w:rsid w:val="46200D9C"/>
    <w:rsid w:val="485D6B30"/>
    <w:rsid w:val="487E102A"/>
    <w:rsid w:val="494F538C"/>
    <w:rsid w:val="49B44BF3"/>
    <w:rsid w:val="4C375660"/>
    <w:rsid w:val="518A4696"/>
    <w:rsid w:val="5371254A"/>
    <w:rsid w:val="57422016"/>
    <w:rsid w:val="57997656"/>
    <w:rsid w:val="58547289"/>
    <w:rsid w:val="5B9B4C02"/>
    <w:rsid w:val="5F875188"/>
    <w:rsid w:val="617B5B83"/>
    <w:rsid w:val="61A17E99"/>
    <w:rsid w:val="62AE1A5C"/>
    <w:rsid w:val="66062605"/>
    <w:rsid w:val="69BC7F8B"/>
    <w:rsid w:val="6AE106B9"/>
    <w:rsid w:val="6FCA2988"/>
    <w:rsid w:val="6FD26E9B"/>
    <w:rsid w:val="715B3F54"/>
    <w:rsid w:val="752D2C2C"/>
    <w:rsid w:val="79F21408"/>
    <w:rsid w:val="7B6651EB"/>
    <w:rsid w:val="7BA77938"/>
    <w:rsid w:val="7CD620AB"/>
    <w:rsid w:val="7CE2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9"/>
    <w:qFormat/>
    <w:uiPriority w:val="0"/>
    <w:rPr>
      <w:rFonts w:ascii="宋体"/>
      <w:sz w:val="18"/>
      <w:szCs w:val="18"/>
    </w:rPr>
  </w:style>
  <w:style w:type="paragraph" w:styleId="6">
    <w:name w:val="annotation text"/>
    <w:basedOn w:val="1"/>
    <w:link w:val="42"/>
    <w:qFormat/>
    <w:uiPriority w:val="0"/>
    <w:pPr>
      <w:jc w:val="left"/>
    </w:pPr>
    <w:rPr>
      <w:szCs w:val="20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link w:val="39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41"/>
    <w:qFormat/>
    <w:uiPriority w:val="0"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link w:val="4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annotation subject"/>
    <w:basedOn w:val="6"/>
    <w:next w:val="6"/>
    <w:link w:val="43"/>
    <w:qFormat/>
    <w:uiPriority w:val="0"/>
    <w:rPr>
      <w:b/>
      <w:bCs/>
    </w:rPr>
  </w:style>
  <w:style w:type="table" w:styleId="16">
    <w:name w:val="Table Grid"/>
    <w:basedOn w:val="15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rFonts w:cs="Times New Roman"/>
      <w:b/>
    </w:rPr>
  </w:style>
  <w:style w:type="character" w:styleId="19">
    <w:name w:val="page number"/>
    <w:basedOn w:val="17"/>
    <w:qFormat/>
    <w:uiPriority w:val="0"/>
  </w:style>
  <w:style w:type="character" w:styleId="20">
    <w:name w:val="FollowedHyperlink"/>
    <w:basedOn w:val="17"/>
    <w:unhideWhenUsed/>
    <w:qFormat/>
    <w:uiPriority w:val="99"/>
    <w:rPr>
      <w:color w:val="800080"/>
      <w:u w:val="single"/>
    </w:rPr>
  </w:style>
  <w:style w:type="character" w:styleId="21">
    <w:name w:val="Hyperlink"/>
    <w:qFormat/>
    <w:uiPriority w:val="99"/>
    <w:rPr>
      <w:rFonts w:hint="default" w:ascii="ˎ̥" w:hAnsi="ˎ̥"/>
      <w:color w:val="000000"/>
      <w:sz w:val="18"/>
      <w:szCs w:val="18"/>
      <w:u w:val="none"/>
    </w:rPr>
  </w:style>
  <w:style w:type="paragraph" w:customStyle="1" w:styleId="2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">
    <w:name w:val="Char Char Char Char Char Char Char Char Char Char"/>
    <w:basedOn w:val="5"/>
    <w:semiHidden/>
    <w:qFormat/>
    <w:uiPriority w:val="0"/>
    <w:pPr>
      <w:shd w:val="clear" w:color="auto" w:fill="000080"/>
      <w:autoSpaceDE w:val="0"/>
      <w:autoSpaceDN w:val="0"/>
      <w:adjustRightInd w:val="0"/>
      <w:spacing w:line="360" w:lineRule="auto"/>
      <w:ind w:left="181" w:firstLine="718" w:firstLineChars="299"/>
    </w:pPr>
    <w:rPr>
      <w:rFonts w:ascii="Tahoma" w:hAnsi="Tahoma"/>
      <w:sz w:val="24"/>
      <w:szCs w:val="24"/>
    </w:rPr>
  </w:style>
  <w:style w:type="paragraph" w:customStyle="1" w:styleId="25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列出段落1"/>
    <w:basedOn w:val="1"/>
    <w:qFormat/>
    <w:uiPriority w:val="0"/>
    <w:pPr>
      <w:ind w:firstLine="420" w:firstLineChars="200"/>
    </w:pPr>
  </w:style>
  <w:style w:type="paragraph" w:customStyle="1" w:styleId="27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列出段落3"/>
    <w:basedOn w:val="1"/>
    <w:qFormat/>
    <w:uiPriority w:val="34"/>
    <w:pPr>
      <w:ind w:firstLine="420" w:firstLineChars="200"/>
    </w:pPr>
  </w:style>
  <w:style w:type="character" w:customStyle="1" w:styleId="29">
    <w:name w:val="文档结构图 字符"/>
    <w:link w:val="5"/>
    <w:qFormat/>
    <w:uiPriority w:val="0"/>
    <w:rPr>
      <w:rFonts w:ascii="宋体"/>
      <w:kern w:val="2"/>
      <w:sz w:val="18"/>
      <w:szCs w:val="18"/>
    </w:rPr>
  </w:style>
  <w:style w:type="character" w:customStyle="1" w:styleId="30">
    <w:name w:val="标题 2 字符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31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2">
    <w:name w:val="列出段落4"/>
    <w:basedOn w:val="1"/>
    <w:qFormat/>
    <w:uiPriority w:val="0"/>
    <w:pPr>
      <w:ind w:firstLine="420" w:firstLineChars="200"/>
    </w:pPr>
    <w:rPr>
      <w:rFonts w:ascii="Calibri" w:hAnsi="Calibri"/>
      <w:sz w:val="28"/>
      <w:szCs w:val="22"/>
    </w:rPr>
  </w:style>
  <w:style w:type="paragraph" w:customStyle="1" w:styleId="33">
    <w:name w:val="列出段落5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35">
    <w:name w:val="标题 1 字符"/>
    <w:basedOn w:val="1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6">
    <w:name w:val="标题 3 字符"/>
    <w:basedOn w:val="17"/>
    <w:link w:val="4"/>
    <w:qFormat/>
    <w:uiPriority w:val="0"/>
    <w:rPr>
      <w:b/>
      <w:bCs/>
      <w:kern w:val="2"/>
      <w:sz w:val="32"/>
      <w:szCs w:val="32"/>
    </w:rPr>
  </w:style>
  <w:style w:type="character" w:customStyle="1" w:styleId="37">
    <w:name w:val="页眉 字符"/>
    <w:basedOn w:val="17"/>
    <w:link w:val="10"/>
    <w:qFormat/>
    <w:locked/>
    <w:uiPriority w:val="99"/>
    <w:rPr>
      <w:kern w:val="2"/>
      <w:sz w:val="18"/>
      <w:szCs w:val="18"/>
    </w:rPr>
  </w:style>
  <w:style w:type="character" w:customStyle="1" w:styleId="38">
    <w:name w:val="页脚 字符"/>
    <w:basedOn w:val="17"/>
    <w:link w:val="9"/>
    <w:qFormat/>
    <w:locked/>
    <w:uiPriority w:val="99"/>
    <w:rPr>
      <w:kern w:val="2"/>
      <w:sz w:val="18"/>
      <w:szCs w:val="18"/>
    </w:rPr>
  </w:style>
  <w:style w:type="character" w:customStyle="1" w:styleId="39">
    <w:name w:val="批注框文本 字符"/>
    <w:basedOn w:val="17"/>
    <w:link w:val="8"/>
    <w:semiHidden/>
    <w:qFormat/>
    <w:locked/>
    <w:uiPriority w:val="0"/>
    <w:rPr>
      <w:kern w:val="2"/>
      <w:sz w:val="18"/>
      <w:szCs w:val="18"/>
    </w:rPr>
  </w:style>
  <w:style w:type="paragraph" w:customStyle="1" w:styleId="40">
    <w:name w:val="列出段落6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41">
    <w:name w:val="副标题 字符"/>
    <w:basedOn w:val="17"/>
    <w:link w:val="11"/>
    <w:qFormat/>
    <w:uiPriority w:val="0"/>
    <w:rPr>
      <w:rFonts w:ascii="Cambria" w:hAnsi="Cambria"/>
      <w:b/>
      <w:bCs/>
      <w:kern w:val="28"/>
      <w:sz w:val="28"/>
      <w:szCs w:val="32"/>
    </w:rPr>
  </w:style>
  <w:style w:type="character" w:customStyle="1" w:styleId="42">
    <w:name w:val="批注文字 字符"/>
    <w:basedOn w:val="17"/>
    <w:link w:val="6"/>
    <w:qFormat/>
    <w:uiPriority w:val="0"/>
    <w:rPr>
      <w:kern w:val="2"/>
      <w:sz w:val="21"/>
    </w:rPr>
  </w:style>
  <w:style w:type="character" w:customStyle="1" w:styleId="43">
    <w:name w:val="批注主题 字符"/>
    <w:basedOn w:val="42"/>
    <w:link w:val="14"/>
    <w:qFormat/>
    <w:uiPriority w:val="0"/>
    <w:rPr>
      <w:b/>
      <w:bCs/>
      <w:kern w:val="2"/>
      <w:sz w:val="21"/>
    </w:rPr>
  </w:style>
  <w:style w:type="character" w:customStyle="1" w:styleId="44">
    <w:name w:val="标题 字符"/>
    <w:basedOn w:val="17"/>
    <w:link w:val="13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45">
    <w:name w:val="列出段落7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4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4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5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51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52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53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54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55">
    <w:name w:val="xl6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6">
    <w:name w:val="xl66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9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70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1">
    <w:name w:val="xl7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2">
    <w:name w:val="xl7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3">
    <w:name w:val="xl7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4">
    <w:name w:val="xl74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5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6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7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8">
    <w:name w:val="xl78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69">
    <w:name w:val="xl7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70">
    <w:name w:val="xl8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71">
    <w:name w:val="xl8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2">
    <w:name w:val="xl8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3">
    <w:name w:val="xl8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74">
    <w:name w:val="xl84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5">
    <w:name w:val="xl85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6">
    <w:name w:val="xl8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7">
    <w:name w:val="xl87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8">
    <w:name w:val="xl88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9">
    <w:name w:val="xl89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0">
    <w:name w:val="xl90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1">
    <w:name w:val="xl9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2">
    <w:name w:val="xl92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3">
    <w:name w:val="xl93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4">
    <w:name w:val="xl94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5">
    <w:name w:val="xl95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96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9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xl98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9">
    <w:name w:val="xl9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100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101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10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103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10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5">
    <w:name w:val="xl105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6">
    <w:name w:val="xl10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7">
    <w:name w:val="xl107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8">
    <w:name w:val="xl10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9">
    <w:name w:val="xl109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0">
    <w:name w:val="xl110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1">
    <w:name w:val="xl111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2">
    <w:name w:val="xl112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3">
    <w:name w:val="xl11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4">
    <w:name w:val="xl114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5">
    <w:name w:val="xl11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6">
    <w:name w:val="xl11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7">
    <w:name w:val="xl11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8">
    <w:name w:val="xl118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9">
    <w:name w:val="xl11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120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表文"/>
    <w:basedOn w:val="1"/>
    <w:qFormat/>
    <w:uiPriority w:val="0"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112">
    <w:name w:val="图说"/>
    <w:basedOn w:val="1"/>
    <w:qFormat/>
    <w:uiPriority w:val="0"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character" w:customStyle="1" w:styleId="113">
    <w:name w:val="apple-converted-space"/>
    <w:basedOn w:val="17"/>
    <w:qFormat/>
    <w:uiPriority w:val="0"/>
  </w:style>
  <w:style w:type="paragraph" w:styleId="1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4</Pages>
  <Words>338</Words>
  <Characters>1930</Characters>
  <Lines>16</Lines>
  <Paragraphs>4</Paragraphs>
  <TotalTime>1</TotalTime>
  <ScaleCrop>false</ScaleCrop>
  <LinksUpToDate>false</LinksUpToDate>
  <CharactersWithSpaces>2264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2021-02-23T01:06:00Z</dcterms:created>
  <dc:creator>雨林木风</dc:creator>
  <cp:lastModifiedBy>lenovo</cp:lastModifiedBy>
  <cp:lastPrinted>2013-12-06T01:49:00Z</cp:lastPrinted>
  <dcterms:modified xsi:type="dcterms:W3CDTF">2021-03-10T06:53:04Z</dcterms:modified>
  <dc:title>扬州市电化教育馆YZDJGXJ2011   广播等设备的询价采购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