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宋体" w:hAnsi="宋体"/>
          <w:color w:val="auto"/>
          <w:sz w:val="36"/>
          <w:highlight w:val="none"/>
        </w:rPr>
      </w:pPr>
    </w:p>
    <w:p>
      <w:pPr>
        <w:jc w:val="right"/>
        <w:rPr>
          <w:rFonts w:hint="default" w:ascii="宋体" w:hAnsi="宋体" w:eastAsia="宋体"/>
          <w:color w:val="auto"/>
          <w:sz w:val="36"/>
          <w:highlight w:val="none"/>
          <w:lang w:val="en-US" w:eastAsia="zh-CN"/>
        </w:rPr>
      </w:pPr>
      <w:r>
        <w:rPr>
          <w:rFonts w:hint="eastAsia" w:ascii="宋体" w:hAnsi="宋体"/>
          <w:color w:val="auto"/>
          <w:sz w:val="36"/>
          <w:highlight w:val="none"/>
        </w:rPr>
        <w:t>编号：</w:t>
      </w:r>
      <w:r>
        <w:rPr>
          <w:rFonts w:hint="default" w:ascii="宋体" w:hAnsi="宋体"/>
          <w:color w:val="auto"/>
          <w:sz w:val="36"/>
          <w:highlight w:val="none"/>
          <w:lang w:val="en-US" w:eastAsia="zh-CN"/>
        </w:rPr>
        <w:t>YZZYGZXCG007</w:t>
      </w:r>
    </w:p>
    <w:p>
      <w:pPr>
        <w:jc w:val="center"/>
        <w:rPr>
          <w:rFonts w:ascii="宋体" w:hAnsi="宋体"/>
          <w:b/>
          <w:color w:val="auto"/>
          <w:sz w:val="44"/>
          <w:szCs w:val="44"/>
          <w:highlight w:val="none"/>
        </w:rPr>
      </w:pPr>
    </w:p>
    <w:p>
      <w:pPr>
        <w:jc w:val="center"/>
        <w:rPr>
          <w:rFonts w:hint="default" w:ascii="宋体" w:hAnsi="宋体"/>
          <w:b/>
          <w:color w:val="auto"/>
          <w:sz w:val="44"/>
          <w:szCs w:val="44"/>
          <w:highlight w:val="none"/>
          <w:lang w:val="en-US" w:eastAsia="zh-CN"/>
        </w:rPr>
      </w:pPr>
      <w:r>
        <w:rPr>
          <w:rFonts w:hint="default" w:ascii="宋体" w:hAnsi="宋体"/>
          <w:b/>
          <w:color w:val="auto"/>
          <w:sz w:val="44"/>
          <w:szCs w:val="44"/>
          <w:highlight w:val="none"/>
          <w:lang w:val="en-US" w:eastAsia="zh-CN"/>
        </w:rPr>
        <w:t>扬州高等职业技术学校网络教学平台及“一人一社团”网络选修课程项目</w:t>
      </w:r>
    </w:p>
    <w:p>
      <w:pPr>
        <w:jc w:val="center"/>
        <w:rPr>
          <w:rFonts w:ascii="宋体" w:hAnsi="宋体"/>
          <w:b/>
          <w:color w:val="auto"/>
          <w:sz w:val="48"/>
          <w:szCs w:val="48"/>
          <w:highlight w:val="none"/>
        </w:rPr>
      </w:pPr>
      <w:r>
        <w:rPr>
          <w:rFonts w:hint="eastAsia" w:ascii="宋体" w:hAnsi="宋体"/>
          <w:b/>
          <w:color w:val="auto"/>
          <w:sz w:val="44"/>
          <w:szCs w:val="44"/>
          <w:highlight w:val="none"/>
        </w:rPr>
        <w:t>竞争性磋商文件</w:t>
      </w:r>
    </w:p>
    <w:p>
      <w:pPr>
        <w:jc w:val="center"/>
        <w:rPr>
          <w:rFonts w:ascii="宋体" w:hAnsi="宋体"/>
          <w:color w:val="auto"/>
          <w:sz w:val="36"/>
          <w:highlight w:val="none"/>
        </w:rPr>
      </w:pPr>
    </w:p>
    <w:p>
      <w:pPr>
        <w:jc w:val="center"/>
        <w:rPr>
          <w:rFonts w:ascii="宋体" w:hAnsi="宋体"/>
          <w:color w:val="auto"/>
          <w:sz w:val="36"/>
          <w:highlight w:val="none"/>
        </w:rPr>
      </w:pPr>
    </w:p>
    <w:p>
      <w:pPr>
        <w:jc w:val="center"/>
        <w:rPr>
          <w:rFonts w:ascii="宋体" w:hAnsi="宋体"/>
          <w:color w:val="auto"/>
          <w:sz w:val="36"/>
          <w:highlight w:val="none"/>
        </w:rPr>
      </w:pPr>
    </w:p>
    <w:p>
      <w:pPr>
        <w:jc w:val="center"/>
        <w:rPr>
          <w:rFonts w:ascii="宋体" w:hAnsi="宋体"/>
          <w:color w:val="auto"/>
          <w:sz w:val="36"/>
          <w:highlight w:val="none"/>
        </w:rPr>
      </w:pPr>
    </w:p>
    <w:p>
      <w:pPr>
        <w:jc w:val="center"/>
        <w:rPr>
          <w:rFonts w:ascii="宋体" w:hAnsi="宋体"/>
          <w:color w:val="auto"/>
          <w:sz w:val="36"/>
          <w:highlight w:val="none"/>
        </w:rPr>
      </w:pPr>
    </w:p>
    <w:p>
      <w:pPr>
        <w:jc w:val="center"/>
        <w:rPr>
          <w:rFonts w:ascii="宋体" w:hAnsi="宋体"/>
          <w:color w:val="auto"/>
          <w:sz w:val="36"/>
          <w:highlight w:val="none"/>
        </w:rPr>
      </w:pPr>
    </w:p>
    <w:p>
      <w:pPr>
        <w:jc w:val="center"/>
        <w:rPr>
          <w:rFonts w:ascii="宋体" w:hAnsi="宋体"/>
          <w:color w:val="auto"/>
          <w:sz w:val="36"/>
          <w:highlight w:val="none"/>
        </w:rPr>
      </w:pPr>
    </w:p>
    <w:p>
      <w:pPr>
        <w:jc w:val="center"/>
        <w:rPr>
          <w:rFonts w:ascii="宋体" w:hAnsi="宋体"/>
          <w:color w:val="auto"/>
          <w:sz w:val="36"/>
          <w:highlight w:val="none"/>
        </w:rPr>
      </w:pPr>
    </w:p>
    <w:p>
      <w:pPr>
        <w:jc w:val="center"/>
        <w:rPr>
          <w:rFonts w:ascii="宋体" w:hAnsi="宋体"/>
          <w:color w:val="auto"/>
          <w:sz w:val="36"/>
          <w:highlight w:val="none"/>
        </w:rPr>
      </w:pPr>
    </w:p>
    <w:p>
      <w:pPr>
        <w:jc w:val="center"/>
        <w:rPr>
          <w:rFonts w:ascii="宋体" w:hAnsi="宋体"/>
          <w:color w:val="auto"/>
          <w:sz w:val="36"/>
          <w:highlight w:val="none"/>
        </w:rPr>
      </w:pPr>
    </w:p>
    <w:p>
      <w:pPr>
        <w:jc w:val="center"/>
        <w:rPr>
          <w:rFonts w:hint="eastAsia" w:ascii="宋体" w:hAnsi="宋体" w:eastAsia="宋体"/>
          <w:color w:val="auto"/>
          <w:sz w:val="36"/>
          <w:highlight w:val="none"/>
          <w:lang w:val="en-US" w:eastAsia="zh-CN"/>
        </w:rPr>
      </w:pPr>
      <w:r>
        <w:rPr>
          <w:rFonts w:hint="eastAsia" w:ascii="宋体" w:hAnsi="宋体"/>
          <w:color w:val="auto"/>
          <w:sz w:val="36"/>
          <w:highlight w:val="none"/>
          <w:lang w:val="en-US" w:eastAsia="zh-CN"/>
        </w:rPr>
        <w:t xml:space="preserve"> </w:t>
      </w:r>
    </w:p>
    <w:p>
      <w:pPr>
        <w:spacing w:line="360" w:lineRule="auto"/>
        <w:rPr>
          <w:rFonts w:ascii="宋体" w:hAnsi="宋体"/>
          <w:color w:val="auto"/>
          <w:sz w:val="36"/>
          <w:highlight w:val="none"/>
        </w:rPr>
      </w:pPr>
    </w:p>
    <w:p>
      <w:pPr>
        <w:spacing w:line="360" w:lineRule="auto"/>
        <w:ind w:firstLine="1736" w:firstLineChars="600"/>
        <w:rPr>
          <w:rFonts w:ascii="宋体" w:hAnsi="宋体"/>
          <w:b/>
          <w:bCs/>
          <w:color w:val="auto"/>
          <w:w w:val="90"/>
          <w:kern w:val="0"/>
          <w:sz w:val="32"/>
          <w:szCs w:val="32"/>
          <w:highlight w:val="none"/>
        </w:rPr>
      </w:pPr>
      <w:r>
        <w:rPr>
          <w:rFonts w:hint="eastAsia" w:ascii="宋体" w:hAnsi="宋体"/>
          <w:b/>
          <w:bCs/>
          <w:color w:val="auto"/>
          <w:w w:val="90"/>
          <w:kern w:val="0"/>
          <w:sz w:val="32"/>
          <w:szCs w:val="32"/>
          <w:highlight w:val="none"/>
        </w:rPr>
        <w:t>采购人：</w:t>
      </w:r>
      <w:r>
        <w:rPr>
          <w:rFonts w:hint="eastAsia" w:ascii="宋体" w:hAnsi="宋体"/>
          <w:b/>
          <w:bCs/>
          <w:color w:val="auto"/>
          <w:w w:val="90"/>
          <w:kern w:val="0"/>
          <w:sz w:val="32"/>
          <w:szCs w:val="32"/>
          <w:highlight w:val="none"/>
          <w:lang w:eastAsia="zh-CN"/>
        </w:rPr>
        <w:t>扬州高等职业技术学校</w:t>
      </w:r>
    </w:p>
    <w:p>
      <w:pPr>
        <w:spacing w:line="360" w:lineRule="auto"/>
        <w:ind w:firstLine="1736" w:firstLineChars="600"/>
        <w:rPr>
          <w:rFonts w:hint="eastAsia" w:ascii="宋体" w:hAnsi="宋体" w:eastAsia="宋体"/>
          <w:b/>
          <w:bCs/>
          <w:color w:val="auto"/>
          <w:w w:val="90"/>
          <w:kern w:val="0"/>
          <w:sz w:val="32"/>
          <w:szCs w:val="32"/>
          <w:highlight w:val="none"/>
          <w:lang w:eastAsia="zh-CN"/>
        </w:rPr>
      </w:pPr>
      <w:r>
        <w:rPr>
          <w:rFonts w:hint="eastAsia" w:ascii="宋体" w:hAnsi="宋体"/>
          <w:b/>
          <w:bCs/>
          <w:color w:val="auto"/>
          <w:w w:val="90"/>
          <w:kern w:val="0"/>
          <w:sz w:val="32"/>
          <w:szCs w:val="32"/>
          <w:highlight w:val="none"/>
        </w:rPr>
        <w:t>采购代理机构(章)：</w:t>
      </w:r>
      <w:r>
        <w:rPr>
          <w:rFonts w:hint="eastAsia" w:ascii="宋体" w:hAnsi="宋体"/>
          <w:b/>
          <w:bCs/>
          <w:color w:val="auto"/>
          <w:w w:val="90"/>
          <w:kern w:val="0"/>
          <w:sz w:val="32"/>
          <w:szCs w:val="32"/>
          <w:highlight w:val="none"/>
          <w:lang w:eastAsia="zh-CN"/>
        </w:rPr>
        <w:t>扬州筑苑工程招标咨询有限公司</w:t>
      </w:r>
    </w:p>
    <w:p>
      <w:pPr>
        <w:spacing w:line="360" w:lineRule="auto"/>
        <w:ind w:firstLine="1736" w:firstLineChars="600"/>
        <w:rPr>
          <w:rFonts w:hint="default" w:ascii="宋体" w:hAnsi="宋体" w:eastAsia="宋体"/>
          <w:b/>
          <w:bCs/>
          <w:color w:val="auto"/>
          <w:w w:val="90"/>
          <w:kern w:val="0"/>
          <w:sz w:val="32"/>
          <w:szCs w:val="32"/>
          <w:highlight w:val="none"/>
          <w:lang w:val="en-US" w:eastAsia="zh-CN"/>
        </w:rPr>
      </w:pPr>
      <w:r>
        <w:rPr>
          <w:rFonts w:hint="eastAsia" w:ascii="宋体" w:hAnsi="宋体"/>
          <w:b/>
          <w:bCs/>
          <w:color w:val="auto"/>
          <w:w w:val="90"/>
          <w:kern w:val="0"/>
          <w:sz w:val="32"/>
          <w:szCs w:val="32"/>
          <w:highlight w:val="none"/>
        </w:rPr>
        <w:t>发放日期：</w:t>
      </w:r>
      <w:r>
        <w:rPr>
          <w:rFonts w:hint="default" w:ascii="宋体" w:hAnsi="宋体"/>
          <w:b/>
          <w:bCs/>
          <w:color w:val="auto"/>
          <w:w w:val="90"/>
          <w:kern w:val="0"/>
          <w:sz w:val="32"/>
          <w:szCs w:val="32"/>
          <w:highlight w:val="none"/>
          <w:lang w:val="en-US" w:eastAsia="zh-CN"/>
        </w:rPr>
        <w:t>2021年11月19日</w:t>
      </w:r>
    </w:p>
    <w:p>
      <w:pPr>
        <w:jc w:val="center"/>
        <w:rPr>
          <w:rFonts w:ascii="宋体"/>
          <w:color w:val="auto"/>
          <w:sz w:val="32"/>
          <w:highlight w:val="none"/>
        </w:rPr>
      </w:pPr>
    </w:p>
    <w:p>
      <w:pPr>
        <w:jc w:val="both"/>
        <w:rPr>
          <w:rFonts w:ascii="宋体" w:hAnsi="宋体"/>
          <w:color w:val="auto"/>
          <w:sz w:val="36"/>
          <w:szCs w:val="36"/>
          <w:highlight w:val="none"/>
        </w:rPr>
      </w:pPr>
    </w:p>
    <w:p>
      <w:pPr>
        <w:jc w:val="center"/>
        <w:rPr>
          <w:rFonts w:hint="eastAsia" w:ascii="宋体" w:hAnsi="宋体"/>
          <w:color w:val="auto"/>
          <w:sz w:val="48"/>
          <w:szCs w:val="36"/>
          <w:highlight w:val="none"/>
        </w:rPr>
        <w:sectPr>
          <w:headerReference r:id="rId3" w:type="default"/>
          <w:pgSz w:w="11906" w:h="16838"/>
          <w:pgMar w:top="1134" w:right="850" w:bottom="850" w:left="1134" w:header="510" w:footer="992" w:gutter="0"/>
          <w:pgNumType w:start="1"/>
          <w:cols w:space="720" w:num="1"/>
          <w:docGrid w:type="lines" w:linePitch="312" w:charSpace="0"/>
        </w:sectPr>
      </w:pPr>
    </w:p>
    <w:p>
      <w:pPr>
        <w:jc w:val="center"/>
        <w:rPr>
          <w:rFonts w:ascii="宋体"/>
          <w:color w:val="auto"/>
          <w:sz w:val="48"/>
          <w:szCs w:val="36"/>
          <w:highlight w:val="none"/>
        </w:rPr>
      </w:pPr>
      <w:r>
        <w:rPr>
          <w:rFonts w:hint="eastAsia" w:ascii="宋体" w:hAnsi="宋体"/>
          <w:color w:val="auto"/>
          <w:sz w:val="48"/>
          <w:szCs w:val="36"/>
          <w:highlight w:val="none"/>
        </w:rPr>
        <w:t>目录</w:t>
      </w:r>
    </w:p>
    <w:p>
      <w:pPr>
        <w:pStyle w:val="16"/>
        <w:tabs>
          <w:tab w:val="right" w:leader="dot" w:pos="9538"/>
        </w:tabs>
        <w:rPr>
          <w:rFonts w:asciiTheme="minorHAnsi" w:hAnsiTheme="minorHAnsi" w:eastAsiaTheme="minorEastAsia" w:cstheme="minorBidi"/>
          <w:color w:val="auto"/>
          <w:sz w:val="28"/>
          <w:highlight w:val="none"/>
        </w:rPr>
      </w:pPr>
      <w:r>
        <w:rPr>
          <w:rFonts w:ascii="宋体" w:hAnsi="宋体"/>
          <w:color w:val="auto"/>
          <w:sz w:val="40"/>
          <w:szCs w:val="28"/>
          <w:highlight w:val="none"/>
        </w:rPr>
        <w:fldChar w:fldCharType="begin"/>
      </w:r>
      <w:r>
        <w:rPr>
          <w:rFonts w:ascii="宋体" w:hAnsi="宋体"/>
          <w:color w:val="auto"/>
          <w:sz w:val="40"/>
          <w:szCs w:val="28"/>
          <w:highlight w:val="none"/>
        </w:rPr>
        <w:instrText xml:space="preserve"> TOC \o "1-3" \f </w:instrText>
      </w:r>
      <w:r>
        <w:rPr>
          <w:rFonts w:ascii="宋体" w:hAnsi="宋体"/>
          <w:color w:val="auto"/>
          <w:sz w:val="40"/>
          <w:szCs w:val="28"/>
          <w:highlight w:val="none"/>
        </w:rPr>
        <w:fldChar w:fldCharType="separate"/>
      </w:r>
      <w:r>
        <w:rPr>
          <w:rFonts w:hint="eastAsia" w:ascii="宋体" w:hAnsi="宋体"/>
          <w:color w:val="auto"/>
          <w:sz w:val="28"/>
          <w:highlight w:val="none"/>
        </w:rPr>
        <w:t>第一章竞争性磋商采购公告</w:t>
      </w:r>
      <w:r>
        <w:rPr>
          <w:color w:val="auto"/>
          <w:sz w:val="28"/>
          <w:highlight w:val="none"/>
        </w:rPr>
        <w:tab/>
      </w:r>
      <w:r>
        <w:rPr>
          <w:color w:val="auto"/>
          <w:sz w:val="28"/>
          <w:highlight w:val="none"/>
        </w:rPr>
        <w:fldChar w:fldCharType="begin"/>
      </w:r>
      <w:r>
        <w:rPr>
          <w:color w:val="auto"/>
          <w:sz w:val="28"/>
          <w:highlight w:val="none"/>
        </w:rPr>
        <w:instrText xml:space="preserve"> PAGEREF _Toc29215468 \h </w:instrText>
      </w:r>
      <w:r>
        <w:rPr>
          <w:color w:val="auto"/>
          <w:sz w:val="28"/>
          <w:highlight w:val="none"/>
        </w:rPr>
        <w:fldChar w:fldCharType="separate"/>
      </w:r>
      <w:r>
        <w:rPr>
          <w:color w:val="auto"/>
          <w:sz w:val="28"/>
          <w:highlight w:val="none"/>
        </w:rPr>
        <w:t>2</w:t>
      </w:r>
      <w:r>
        <w:rPr>
          <w:color w:val="auto"/>
          <w:sz w:val="28"/>
          <w:highlight w:val="none"/>
        </w:rPr>
        <w:fldChar w:fldCharType="end"/>
      </w:r>
    </w:p>
    <w:p>
      <w:pPr>
        <w:pStyle w:val="16"/>
        <w:tabs>
          <w:tab w:val="right" w:leader="dot" w:pos="9538"/>
        </w:tabs>
        <w:rPr>
          <w:rFonts w:asciiTheme="minorHAnsi" w:hAnsiTheme="minorHAnsi" w:eastAsiaTheme="minorEastAsia" w:cstheme="minorBidi"/>
          <w:color w:val="auto"/>
          <w:sz w:val="28"/>
          <w:highlight w:val="none"/>
        </w:rPr>
      </w:pPr>
      <w:r>
        <w:rPr>
          <w:rFonts w:hint="eastAsia"/>
          <w:color w:val="auto"/>
          <w:sz w:val="28"/>
          <w:highlight w:val="none"/>
        </w:rPr>
        <w:t>第二章磋商须知</w:t>
      </w:r>
      <w:r>
        <w:rPr>
          <w:color w:val="auto"/>
          <w:sz w:val="28"/>
          <w:highlight w:val="none"/>
        </w:rPr>
        <w:tab/>
      </w:r>
      <w:r>
        <w:rPr>
          <w:color w:val="auto"/>
          <w:sz w:val="28"/>
          <w:highlight w:val="none"/>
        </w:rPr>
        <w:fldChar w:fldCharType="begin"/>
      </w:r>
      <w:r>
        <w:rPr>
          <w:color w:val="auto"/>
          <w:sz w:val="28"/>
          <w:highlight w:val="none"/>
        </w:rPr>
        <w:instrText xml:space="preserve"> PAGEREF _Toc29215469 \h </w:instrText>
      </w:r>
      <w:r>
        <w:rPr>
          <w:color w:val="auto"/>
          <w:sz w:val="28"/>
          <w:highlight w:val="none"/>
        </w:rPr>
        <w:fldChar w:fldCharType="separate"/>
      </w:r>
      <w:r>
        <w:rPr>
          <w:color w:val="auto"/>
          <w:sz w:val="28"/>
          <w:highlight w:val="none"/>
        </w:rPr>
        <w:t>5</w:t>
      </w:r>
      <w:r>
        <w:rPr>
          <w:color w:val="auto"/>
          <w:sz w:val="28"/>
          <w:highlight w:val="none"/>
        </w:rPr>
        <w:fldChar w:fldCharType="end"/>
      </w:r>
    </w:p>
    <w:p>
      <w:pPr>
        <w:pStyle w:val="16"/>
        <w:tabs>
          <w:tab w:val="right" w:leader="dot" w:pos="9538"/>
        </w:tabs>
        <w:rPr>
          <w:rFonts w:asciiTheme="minorHAnsi" w:hAnsiTheme="minorHAnsi" w:eastAsiaTheme="minorEastAsia" w:cstheme="minorBidi"/>
          <w:color w:val="auto"/>
          <w:sz w:val="28"/>
          <w:highlight w:val="none"/>
        </w:rPr>
      </w:pPr>
      <w:r>
        <w:rPr>
          <w:rFonts w:hint="eastAsia" w:ascii="宋体" w:hAnsi="宋体"/>
          <w:color w:val="auto"/>
          <w:sz w:val="28"/>
          <w:highlight w:val="none"/>
        </w:rPr>
        <w:t>第三章合同条款及格式</w:t>
      </w:r>
      <w:r>
        <w:rPr>
          <w:color w:val="auto"/>
          <w:sz w:val="28"/>
          <w:highlight w:val="none"/>
        </w:rPr>
        <w:tab/>
      </w:r>
      <w:r>
        <w:rPr>
          <w:color w:val="auto"/>
          <w:sz w:val="28"/>
          <w:highlight w:val="none"/>
        </w:rPr>
        <w:fldChar w:fldCharType="begin"/>
      </w:r>
      <w:r>
        <w:rPr>
          <w:color w:val="auto"/>
          <w:sz w:val="28"/>
          <w:highlight w:val="none"/>
        </w:rPr>
        <w:instrText xml:space="preserve"> PAGEREF _Toc29215470 \h </w:instrText>
      </w:r>
      <w:r>
        <w:rPr>
          <w:color w:val="auto"/>
          <w:sz w:val="28"/>
          <w:highlight w:val="none"/>
        </w:rPr>
        <w:fldChar w:fldCharType="separate"/>
      </w:r>
      <w:r>
        <w:rPr>
          <w:color w:val="auto"/>
          <w:sz w:val="28"/>
          <w:highlight w:val="none"/>
        </w:rPr>
        <w:t>14</w:t>
      </w:r>
      <w:r>
        <w:rPr>
          <w:color w:val="auto"/>
          <w:sz w:val="28"/>
          <w:highlight w:val="none"/>
        </w:rPr>
        <w:fldChar w:fldCharType="end"/>
      </w:r>
    </w:p>
    <w:p>
      <w:pPr>
        <w:pStyle w:val="16"/>
        <w:tabs>
          <w:tab w:val="right" w:leader="dot" w:pos="9538"/>
        </w:tabs>
        <w:rPr>
          <w:rFonts w:asciiTheme="minorHAnsi" w:hAnsiTheme="minorHAnsi" w:eastAsiaTheme="minorEastAsia" w:cstheme="minorBidi"/>
          <w:color w:val="auto"/>
          <w:sz w:val="28"/>
          <w:highlight w:val="none"/>
        </w:rPr>
      </w:pPr>
      <w:r>
        <w:rPr>
          <w:rFonts w:hint="eastAsia"/>
          <w:color w:val="auto"/>
          <w:sz w:val="28"/>
          <w:highlight w:val="none"/>
        </w:rPr>
        <w:t>第四章项目需求</w:t>
      </w:r>
      <w:r>
        <w:rPr>
          <w:color w:val="auto"/>
          <w:sz w:val="28"/>
          <w:highlight w:val="none"/>
        </w:rPr>
        <w:tab/>
      </w:r>
      <w:r>
        <w:rPr>
          <w:color w:val="auto"/>
          <w:sz w:val="28"/>
          <w:highlight w:val="none"/>
        </w:rPr>
        <w:fldChar w:fldCharType="begin"/>
      </w:r>
      <w:r>
        <w:rPr>
          <w:color w:val="auto"/>
          <w:sz w:val="28"/>
          <w:highlight w:val="none"/>
        </w:rPr>
        <w:instrText xml:space="preserve"> PAGEREF _Toc29215471 \h </w:instrText>
      </w:r>
      <w:r>
        <w:rPr>
          <w:color w:val="auto"/>
          <w:sz w:val="28"/>
          <w:highlight w:val="none"/>
        </w:rPr>
        <w:fldChar w:fldCharType="separate"/>
      </w:r>
      <w:r>
        <w:rPr>
          <w:color w:val="auto"/>
          <w:sz w:val="28"/>
          <w:highlight w:val="none"/>
        </w:rPr>
        <w:t>18</w:t>
      </w:r>
      <w:r>
        <w:rPr>
          <w:color w:val="auto"/>
          <w:sz w:val="28"/>
          <w:highlight w:val="none"/>
        </w:rPr>
        <w:fldChar w:fldCharType="end"/>
      </w:r>
    </w:p>
    <w:p>
      <w:pPr>
        <w:pStyle w:val="16"/>
        <w:tabs>
          <w:tab w:val="right" w:leader="dot" w:pos="9538"/>
        </w:tabs>
        <w:rPr>
          <w:rFonts w:hint="default" w:eastAsia="宋体" w:asciiTheme="minorHAnsi" w:hAnsiTheme="minorHAnsi" w:cstheme="minorBidi"/>
          <w:color w:val="auto"/>
          <w:sz w:val="28"/>
          <w:highlight w:val="none"/>
          <w:lang w:val="en-US" w:eastAsia="zh-CN"/>
        </w:rPr>
      </w:pPr>
      <w:r>
        <w:rPr>
          <w:rFonts w:hint="eastAsia" w:ascii="宋体" w:hAnsi="宋体"/>
          <w:color w:val="auto"/>
          <w:sz w:val="28"/>
          <w:highlight w:val="none"/>
        </w:rPr>
        <w:t>第五章评审方法和评审标准</w:t>
      </w:r>
      <w:r>
        <w:rPr>
          <w:color w:val="auto"/>
          <w:sz w:val="28"/>
          <w:highlight w:val="none"/>
        </w:rPr>
        <w:tab/>
      </w:r>
      <w:r>
        <w:rPr>
          <w:rFonts w:hint="eastAsia"/>
          <w:color w:val="auto"/>
          <w:sz w:val="28"/>
          <w:highlight w:val="none"/>
          <w:lang w:val="en-US" w:eastAsia="zh-CN"/>
        </w:rPr>
        <w:t>21</w:t>
      </w:r>
    </w:p>
    <w:p>
      <w:pPr>
        <w:pStyle w:val="16"/>
        <w:tabs>
          <w:tab w:val="right" w:leader="dot" w:pos="9538"/>
        </w:tabs>
        <w:rPr>
          <w:rFonts w:asciiTheme="minorHAnsi" w:hAnsiTheme="minorHAnsi" w:eastAsiaTheme="minorEastAsia" w:cstheme="minorBidi"/>
          <w:color w:val="auto"/>
          <w:sz w:val="28"/>
          <w:highlight w:val="none"/>
        </w:rPr>
      </w:pPr>
      <w:r>
        <w:rPr>
          <w:rFonts w:hint="eastAsia"/>
          <w:color w:val="auto"/>
          <w:sz w:val="28"/>
          <w:highlight w:val="none"/>
        </w:rPr>
        <w:t>第六章竞争性磋商响应文件格式</w:t>
      </w:r>
      <w:r>
        <w:rPr>
          <w:color w:val="auto"/>
          <w:sz w:val="28"/>
          <w:highlight w:val="none"/>
        </w:rPr>
        <w:tab/>
      </w:r>
      <w:r>
        <w:rPr>
          <w:color w:val="auto"/>
          <w:sz w:val="28"/>
          <w:highlight w:val="none"/>
        </w:rPr>
        <w:fldChar w:fldCharType="begin"/>
      </w:r>
      <w:r>
        <w:rPr>
          <w:color w:val="auto"/>
          <w:sz w:val="28"/>
          <w:highlight w:val="none"/>
        </w:rPr>
        <w:instrText xml:space="preserve"> PAGEREF _Toc29215473 \h </w:instrText>
      </w:r>
      <w:r>
        <w:rPr>
          <w:color w:val="auto"/>
          <w:sz w:val="28"/>
          <w:highlight w:val="none"/>
        </w:rPr>
        <w:fldChar w:fldCharType="separate"/>
      </w:r>
      <w:r>
        <w:rPr>
          <w:color w:val="auto"/>
          <w:sz w:val="28"/>
          <w:highlight w:val="none"/>
        </w:rPr>
        <w:t>2</w:t>
      </w:r>
      <w:r>
        <w:rPr>
          <w:rFonts w:hint="eastAsia"/>
          <w:color w:val="auto"/>
          <w:sz w:val="28"/>
          <w:highlight w:val="none"/>
          <w:lang w:val="en-US" w:eastAsia="zh-CN"/>
        </w:rPr>
        <w:t>3</w:t>
      </w:r>
      <w:r>
        <w:rPr>
          <w:color w:val="auto"/>
          <w:sz w:val="28"/>
          <w:highlight w:val="none"/>
        </w:rPr>
        <w:fldChar w:fldCharType="end"/>
      </w:r>
    </w:p>
    <w:p>
      <w:pPr>
        <w:rPr>
          <w:rFonts w:ascii="宋体" w:hAnsi="宋体"/>
          <w:color w:val="auto"/>
          <w:sz w:val="40"/>
          <w:szCs w:val="28"/>
          <w:highlight w:val="none"/>
        </w:rPr>
      </w:pPr>
      <w:r>
        <w:rPr>
          <w:rFonts w:ascii="宋体" w:hAnsi="宋体"/>
          <w:color w:val="auto"/>
          <w:sz w:val="40"/>
          <w:szCs w:val="28"/>
          <w:highlight w:val="none"/>
        </w:rPr>
        <w:fldChar w:fldCharType="end"/>
      </w:r>
      <w:bookmarkStart w:id="0" w:name="_Toc29215468"/>
    </w:p>
    <w:p>
      <w:pPr>
        <w:rPr>
          <w:rFonts w:ascii="宋体" w:hAnsi="宋体"/>
          <w:color w:val="auto"/>
          <w:sz w:val="40"/>
          <w:szCs w:val="28"/>
          <w:highlight w:val="none"/>
        </w:rPr>
      </w:pPr>
    </w:p>
    <w:p>
      <w:pPr>
        <w:rPr>
          <w:rFonts w:ascii="宋体" w:hAnsi="宋体"/>
          <w:color w:val="auto"/>
          <w:sz w:val="40"/>
          <w:szCs w:val="28"/>
          <w:highlight w:val="none"/>
        </w:rPr>
      </w:pPr>
    </w:p>
    <w:p>
      <w:pPr>
        <w:rPr>
          <w:rFonts w:ascii="宋体" w:hAnsi="宋体"/>
          <w:color w:val="auto"/>
          <w:sz w:val="40"/>
          <w:szCs w:val="28"/>
          <w:highlight w:val="none"/>
        </w:rPr>
      </w:pPr>
    </w:p>
    <w:p>
      <w:pPr>
        <w:rPr>
          <w:rFonts w:ascii="宋体" w:hAnsi="宋体"/>
          <w:color w:val="auto"/>
          <w:sz w:val="40"/>
          <w:szCs w:val="28"/>
          <w:highlight w:val="none"/>
        </w:rPr>
      </w:pPr>
    </w:p>
    <w:p>
      <w:pPr>
        <w:rPr>
          <w:rFonts w:ascii="宋体" w:hAnsi="宋体"/>
          <w:color w:val="auto"/>
          <w:sz w:val="40"/>
          <w:szCs w:val="28"/>
          <w:highlight w:val="none"/>
        </w:rPr>
      </w:pPr>
    </w:p>
    <w:p>
      <w:pPr>
        <w:rPr>
          <w:rFonts w:ascii="宋体" w:hAnsi="宋体"/>
          <w:color w:val="auto"/>
          <w:sz w:val="40"/>
          <w:szCs w:val="28"/>
          <w:highlight w:val="none"/>
        </w:rPr>
      </w:pPr>
    </w:p>
    <w:p>
      <w:pPr>
        <w:rPr>
          <w:rFonts w:ascii="宋体" w:hAnsi="宋体"/>
          <w:color w:val="auto"/>
          <w:sz w:val="40"/>
          <w:szCs w:val="28"/>
          <w:highlight w:val="none"/>
        </w:rPr>
      </w:pPr>
    </w:p>
    <w:p>
      <w:pPr>
        <w:rPr>
          <w:rFonts w:ascii="宋体" w:hAnsi="宋体"/>
          <w:color w:val="auto"/>
          <w:sz w:val="40"/>
          <w:szCs w:val="28"/>
          <w:highlight w:val="none"/>
        </w:rPr>
      </w:pPr>
    </w:p>
    <w:p>
      <w:pPr>
        <w:rPr>
          <w:rFonts w:ascii="宋体" w:hAnsi="宋体"/>
          <w:color w:val="auto"/>
          <w:sz w:val="40"/>
          <w:szCs w:val="28"/>
          <w:highlight w:val="none"/>
        </w:rPr>
      </w:pPr>
    </w:p>
    <w:p>
      <w:pPr>
        <w:rPr>
          <w:rFonts w:ascii="宋体" w:hAnsi="宋体"/>
          <w:color w:val="auto"/>
          <w:sz w:val="40"/>
          <w:szCs w:val="28"/>
          <w:highlight w:val="none"/>
        </w:rPr>
      </w:pPr>
    </w:p>
    <w:p>
      <w:pPr>
        <w:rPr>
          <w:rFonts w:ascii="宋体" w:hAnsi="宋体"/>
          <w:color w:val="auto"/>
          <w:sz w:val="40"/>
          <w:szCs w:val="28"/>
          <w:highlight w:val="none"/>
        </w:rPr>
      </w:pPr>
    </w:p>
    <w:p>
      <w:pPr>
        <w:rPr>
          <w:rFonts w:ascii="宋体" w:hAnsi="宋体"/>
          <w:color w:val="auto"/>
          <w:sz w:val="40"/>
          <w:szCs w:val="28"/>
          <w:highlight w:val="none"/>
        </w:rPr>
      </w:pPr>
    </w:p>
    <w:p>
      <w:pPr>
        <w:rPr>
          <w:rFonts w:ascii="宋体" w:hAnsi="宋体"/>
          <w:color w:val="auto"/>
          <w:sz w:val="40"/>
          <w:szCs w:val="28"/>
          <w:highlight w:val="none"/>
        </w:rPr>
      </w:pPr>
    </w:p>
    <w:p>
      <w:pPr>
        <w:rPr>
          <w:rFonts w:ascii="宋体" w:hAnsi="宋体"/>
          <w:color w:val="auto"/>
          <w:sz w:val="40"/>
          <w:szCs w:val="28"/>
          <w:highlight w:val="none"/>
        </w:rPr>
      </w:pPr>
    </w:p>
    <w:p>
      <w:pPr>
        <w:rPr>
          <w:rFonts w:ascii="宋体" w:hAnsi="宋体"/>
          <w:color w:val="auto"/>
          <w:sz w:val="40"/>
          <w:szCs w:val="28"/>
          <w:highlight w:val="none"/>
        </w:rPr>
      </w:pPr>
    </w:p>
    <w:p>
      <w:pPr>
        <w:pStyle w:val="3"/>
        <w:jc w:val="center"/>
        <w:rPr>
          <w:color w:val="auto"/>
          <w:highlight w:val="none"/>
        </w:rPr>
      </w:pPr>
      <w:r>
        <w:rPr>
          <w:rFonts w:hint="eastAsia"/>
          <w:color w:val="auto"/>
          <w:highlight w:val="none"/>
        </w:rPr>
        <w:t>第一章</w:t>
      </w:r>
      <w:r>
        <w:rPr>
          <w:rFonts w:hint="eastAsia"/>
          <w:color w:val="auto"/>
          <w:highlight w:val="none"/>
          <w:lang w:val="en-US" w:eastAsia="zh-CN"/>
        </w:rPr>
        <w:t xml:space="preserve"> </w:t>
      </w:r>
      <w:r>
        <w:rPr>
          <w:rFonts w:hint="eastAsia"/>
          <w:color w:val="auto"/>
          <w:highlight w:val="none"/>
        </w:rPr>
        <w:t>竞争性磋商采购公告</w:t>
      </w:r>
      <w:bookmarkEnd w:id="0"/>
    </w:p>
    <w:p>
      <w:pPr>
        <w:spacing w:line="440" w:lineRule="exact"/>
        <w:ind w:right="-313" w:rightChars="-149" w:firstLine="420" w:firstLineChars="200"/>
        <w:rPr>
          <w:rFonts w:ascii="宋体" w:hAnsi="宋体"/>
          <w:color w:val="000000"/>
          <w:szCs w:val="21"/>
        </w:rPr>
      </w:pPr>
      <w:bookmarkStart w:id="1" w:name="_Toc504128232"/>
      <w:r>
        <w:rPr>
          <w:rFonts w:hint="eastAsia" w:ascii="宋体" w:hAnsi="宋体"/>
          <w:color w:val="000000"/>
          <w:szCs w:val="21"/>
          <w:lang w:eastAsia="zh-CN"/>
        </w:rPr>
        <w:t>扬州筑苑工程招标咨询有限公司</w:t>
      </w:r>
      <w:r>
        <w:rPr>
          <w:rFonts w:hint="eastAsia" w:ascii="宋体" w:hAnsi="宋体"/>
          <w:color w:val="000000"/>
          <w:szCs w:val="21"/>
        </w:rPr>
        <w:t>受扬州高等职业技术学校的委托，</w:t>
      </w:r>
      <w:r>
        <w:rPr>
          <w:rFonts w:hint="eastAsia" w:ascii="宋体" w:hAnsi="宋体"/>
          <w:bCs/>
          <w:szCs w:val="21"/>
        </w:rPr>
        <w:t>就其</w:t>
      </w:r>
      <w:r>
        <w:rPr>
          <w:rFonts w:hint="default" w:ascii="宋体" w:hAnsi="宋体"/>
          <w:color w:val="000000"/>
          <w:szCs w:val="21"/>
          <w:lang w:val="en-US" w:eastAsia="zh-CN"/>
        </w:rPr>
        <w:t>扬州高等职业技术学校网络教学平台及“一人一社团”网络选修课程项目</w:t>
      </w:r>
      <w:r>
        <w:rPr>
          <w:rFonts w:hint="eastAsia" w:ascii="宋体" w:hAnsi="宋体"/>
          <w:szCs w:val="21"/>
        </w:rPr>
        <w:t>进行竞争性磋商采购，欢迎符合相关条件的供应商参加磋商。</w:t>
      </w:r>
    </w:p>
    <w:p>
      <w:pPr>
        <w:spacing w:line="440" w:lineRule="exact"/>
        <w:ind w:firstLine="422" w:firstLineChars="200"/>
        <w:outlineLvl w:val="0"/>
        <w:rPr>
          <w:rFonts w:ascii="宋体" w:hAnsi="宋体"/>
          <w:b/>
          <w:color w:val="000000"/>
          <w:szCs w:val="21"/>
        </w:rPr>
      </w:pPr>
      <w:r>
        <w:rPr>
          <w:rFonts w:hint="eastAsia" w:ascii="宋体" w:hAnsi="宋体"/>
          <w:b/>
          <w:color w:val="000000"/>
          <w:szCs w:val="21"/>
        </w:rPr>
        <w:t>一、</w:t>
      </w:r>
      <w:r>
        <w:rPr>
          <w:rFonts w:hint="eastAsia" w:ascii="宋体" w:hAnsi="宋体"/>
          <w:b/>
          <w:bCs/>
          <w:szCs w:val="21"/>
        </w:rPr>
        <w:t>采购项目名称</w:t>
      </w:r>
      <w:r>
        <w:rPr>
          <w:rFonts w:hint="eastAsia" w:ascii="宋体" w:hAnsi="宋体"/>
          <w:b/>
          <w:color w:val="000000"/>
          <w:szCs w:val="21"/>
        </w:rPr>
        <w:t>及编号</w:t>
      </w:r>
    </w:p>
    <w:p>
      <w:pPr>
        <w:spacing w:line="440" w:lineRule="exact"/>
        <w:ind w:firstLine="420" w:firstLineChars="200"/>
        <w:rPr>
          <w:rFonts w:hint="default" w:ascii="宋体" w:hAnsi="宋体" w:eastAsia="宋体"/>
          <w:color w:val="000000"/>
          <w:szCs w:val="21"/>
          <w:lang w:val="en-US" w:eastAsia="zh-CN"/>
        </w:rPr>
      </w:pPr>
      <w:r>
        <w:rPr>
          <w:rFonts w:hint="eastAsia" w:hAnsi="宋体"/>
          <w:szCs w:val="21"/>
        </w:rPr>
        <w:t>项目名称</w:t>
      </w:r>
      <w:r>
        <w:rPr>
          <w:rFonts w:hint="eastAsia" w:hAnsi="宋体"/>
          <w:sz w:val="24"/>
        </w:rPr>
        <w:t>：</w:t>
      </w:r>
      <w:r>
        <w:rPr>
          <w:rFonts w:hint="default" w:ascii="宋体" w:hAnsi="宋体"/>
          <w:color w:val="000000"/>
          <w:szCs w:val="21"/>
          <w:lang w:val="en-US" w:eastAsia="zh-CN"/>
        </w:rPr>
        <w:t>扬州高等职业技术学校网络教学平台及“一人一社团”网络选修课程项目</w:t>
      </w:r>
    </w:p>
    <w:p>
      <w:pPr>
        <w:spacing w:line="440" w:lineRule="exact"/>
        <w:ind w:firstLine="420" w:firstLineChars="200"/>
        <w:rPr>
          <w:rFonts w:hint="default" w:ascii="宋体" w:hAnsi="宋体" w:eastAsia="宋体"/>
          <w:color w:val="000000"/>
          <w:szCs w:val="21"/>
          <w:lang w:val="en-US" w:eastAsia="zh-CN"/>
        </w:rPr>
      </w:pPr>
      <w:r>
        <w:rPr>
          <w:rFonts w:hint="eastAsia" w:ascii="宋体" w:hAnsi="宋体"/>
          <w:szCs w:val="21"/>
        </w:rPr>
        <w:t>编    号</w:t>
      </w:r>
      <w:r>
        <w:rPr>
          <w:rFonts w:hint="eastAsia" w:ascii="宋体" w:hAnsi="宋体"/>
          <w:sz w:val="24"/>
        </w:rPr>
        <w:t>：</w:t>
      </w:r>
      <w:r>
        <w:rPr>
          <w:rFonts w:hint="default" w:ascii="宋体" w:hAnsi="宋体"/>
          <w:color w:val="000000"/>
          <w:szCs w:val="21"/>
          <w:lang w:val="en-US" w:eastAsia="zh-CN"/>
        </w:rPr>
        <w:t>YZZYGZXCG007</w:t>
      </w:r>
    </w:p>
    <w:p>
      <w:pPr>
        <w:numPr>
          <w:ilvl w:val="0"/>
          <w:numId w:val="2"/>
        </w:numPr>
        <w:tabs>
          <w:tab w:val="left" w:pos="900"/>
        </w:tabs>
        <w:spacing w:line="440" w:lineRule="exact"/>
        <w:ind w:firstLine="422" w:firstLineChars="200"/>
        <w:rPr>
          <w:rFonts w:ascii="宋体" w:hAnsi="宋体"/>
          <w:b/>
          <w:bCs/>
          <w:szCs w:val="21"/>
        </w:rPr>
      </w:pPr>
      <w:r>
        <w:rPr>
          <w:rFonts w:hint="eastAsia" w:ascii="宋体" w:hAnsi="宋体"/>
          <w:b/>
          <w:bCs/>
          <w:szCs w:val="21"/>
        </w:rPr>
        <w:t>采购项目简要说明及预算金额</w:t>
      </w:r>
    </w:p>
    <w:p>
      <w:pPr>
        <w:spacing w:line="360" w:lineRule="auto"/>
        <w:ind w:firstLine="420" w:firstLineChars="200"/>
        <w:outlineLvl w:val="0"/>
        <w:rPr>
          <w:rFonts w:ascii="宋体" w:hAnsi="宋体"/>
          <w:color w:val="000000"/>
        </w:rPr>
      </w:pPr>
      <w:r>
        <w:rPr>
          <w:rFonts w:hint="eastAsia" w:ascii="宋体" w:hAnsi="宋体"/>
          <w:color w:val="000000"/>
        </w:rPr>
        <w:t>本项</w:t>
      </w:r>
      <w:r>
        <w:rPr>
          <w:rFonts w:hint="eastAsia" w:ascii="宋体" w:hAnsi="宋体"/>
          <w:color w:val="000000"/>
          <w:highlight w:val="none"/>
        </w:rPr>
        <w:t>目设定最高</w:t>
      </w:r>
      <w:r>
        <w:rPr>
          <w:rFonts w:hint="eastAsia" w:ascii="宋体" w:hAnsi="宋体" w:eastAsia="宋体"/>
          <w:color w:val="000000"/>
          <w:highlight w:val="none"/>
        </w:rPr>
        <w:t>限价，最高限价为</w:t>
      </w:r>
      <w:r>
        <w:rPr>
          <w:rFonts w:hint="default" w:ascii="宋体" w:hAnsi="宋体"/>
          <w:color w:val="000000"/>
          <w:highlight w:val="none"/>
          <w:lang w:val="en-US"/>
        </w:rPr>
        <w:t>15万元</w:t>
      </w:r>
      <w:r>
        <w:rPr>
          <w:rFonts w:hint="eastAsia" w:ascii="宋体" w:hAnsi="宋体" w:eastAsia="宋体"/>
          <w:color w:val="000000"/>
          <w:highlight w:val="none"/>
        </w:rPr>
        <w:t>。</w:t>
      </w:r>
    </w:p>
    <w:p>
      <w:pPr>
        <w:spacing w:line="440" w:lineRule="exact"/>
        <w:ind w:firstLine="420" w:firstLineChars="200"/>
        <w:outlineLvl w:val="0"/>
        <w:rPr>
          <w:rFonts w:ascii="宋体"/>
          <w:color w:val="000000"/>
          <w:szCs w:val="21"/>
        </w:rPr>
      </w:pPr>
      <w:r>
        <w:rPr>
          <w:rFonts w:hint="eastAsia" w:ascii="宋体" w:hAnsi="宋体" w:eastAsia="宋体" w:cs="宋体"/>
          <w:lang w:val="en-US" w:eastAsia="zh-CN"/>
        </w:rPr>
        <w:t>投标报价高于最高限价的为无效报价</w:t>
      </w:r>
      <w:r>
        <w:rPr>
          <w:rFonts w:hint="eastAsia" w:ascii="宋体" w:hAnsi="宋体"/>
          <w:color w:val="000000"/>
          <w:szCs w:val="21"/>
        </w:rPr>
        <w:t>。</w:t>
      </w:r>
    </w:p>
    <w:p>
      <w:pPr>
        <w:tabs>
          <w:tab w:val="left" w:pos="900"/>
        </w:tabs>
        <w:spacing w:line="440" w:lineRule="exact"/>
        <w:ind w:left="420"/>
        <w:rPr>
          <w:rFonts w:ascii="宋体" w:hAnsi="宋体"/>
          <w:b/>
          <w:bCs/>
          <w:szCs w:val="21"/>
        </w:rPr>
      </w:pPr>
      <w:r>
        <w:rPr>
          <w:rFonts w:hint="eastAsia" w:ascii="宋体" w:hAnsi="宋体"/>
          <w:b/>
          <w:bCs/>
          <w:szCs w:val="21"/>
        </w:rPr>
        <w:t>三、</w:t>
      </w:r>
      <w:r>
        <w:rPr>
          <w:rFonts w:hint="eastAsia" w:ascii="宋体" w:hAnsi="宋体" w:cs="Arial"/>
          <w:b/>
          <w:bCs/>
          <w:color w:val="000000"/>
          <w:szCs w:val="21"/>
        </w:rPr>
        <w:t>合格磋商供应商资格要求</w:t>
      </w:r>
    </w:p>
    <w:p>
      <w:pPr>
        <w:spacing w:line="440" w:lineRule="exact"/>
        <w:ind w:firstLine="396" w:firstLineChars="200"/>
        <w:rPr>
          <w:rFonts w:ascii="宋体" w:hAnsi="宋体"/>
          <w:szCs w:val="21"/>
        </w:rPr>
      </w:pPr>
      <w:r>
        <w:rPr>
          <w:rFonts w:hint="eastAsia" w:ascii="宋体" w:hAnsi="宋体" w:cs="Arial"/>
          <w:color w:val="000000"/>
          <w:spacing w:val="-6"/>
          <w:szCs w:val="21"/>
        </w:rPr>
        <w:t>（一）</w:t>
      </w:r>
      <w:r>
        <w:rPr>
          <w:rFonts w:hint="eastAsia"/>
          <w:color w:val="000000"/>
          <w:sz w:val="21"/>
          <w:szCs w:val="21"/>
          <w:highlight w:val="none"/>
        </w:rPr>
        <w:t>满足《中华人民共和国政府采购法》第二十二条规定，</w:t>
      </w:r>
      <w:r>
        <w:rPr>
          <w:rFonts w:hint="eastAsia"/>
          <w:color w:val="000000"/>
          <w:spacing w:val="-6"/>
          <w:sz w:val="21"/>
          <w:szCs w:val="21"/>
          <w:highlight w:val="none"/>
        </w:rPr>
        <w:t>并提供下列材料</w:t>
      </w:r>
    </w:p>
    <w:p>
      <w:pPr>
        <w:spacing w:line="440" w:lineRule="exact"/>
        <w:ind w:firstLine="480" w:firstLineChars="200"/>
        <w:outlineLvl w:val="0"/>
        <w:rPr>
          <w:rFonts w:ascii="宋体" w:hAnsi="宋体"/>
          <w:i/>
          <w:iCs w:val="0"/>
          <w:sz w:val="24"/>
          <w:szCs w:val="24"/>
          <w:u w:val="single"/>
        </w:rPr>
      </w:pPr>
      <w:r>
        <w:rPr>
          <w:rFonts w:hint="eastAsia" w:ascii="宋体" w:hAnsi="宋体"/>
          <w:i/>
          <w:iCs w:val="0"/>
          <w:sz w:val="24"/>
          <w:szCs w:val="24"/>
          <w:u w:val="single"/>
        </w:rPr>
        <w:t>1 磋商响应函</w:t>
      </w:r>
      <w:r>
        <w:rPr>
          <w:rFonts w:hint="eastAsia" w:ascii="宋体" w:hAnsi="宋体"/>
          <w:b/>
          <w:i/>
          <w:iCs w:val="0"/>
          <w:sz w:val="24"/>
          <w:szCs w:val="24"/>
          <w:u w:val="single"/>
        </w:rPr>
        <w:t>(原件)</w:t>
      </w:r>
    </w:p>
    <w:p>
      <w:pPr>
        <w:spacing w:line="440" w:lineRule="exact"/>
        <w:ind w:firstLine="480" w:firstLineChars="200"/>
        <w:outlineLvl w:val="0"/>
        <w:rPr>
          <w:rFonts w:ascii="宋体" w:hAnsi="宋体"/>
          <w:i/>
          <w:iCs w:val="0"/>
          <w:sz w:val="24"/>
          <w:szCs w:val="24"/>
          <w:u w:val="single"/>
        </w:rPr>
      </w:pPr>
      <w:r>
        <w:rPr>
          <w:rFonts w:hint="eastAsia" w:ascii="宋体" w:hAnsi="宋体"/>
          <w:i/>
          <w:iCs w:val="0"/>
          <w:sz w:val="24"/>
          <w:szCs w:val="24"/>
          <w:u w:val="single"/>
        </w:rPr>
        <w:t>2 资格声明</w:t>
      </w:r>
      <w:r>
        <w:rPr>
          <w:rFonts w:hint="eastAsia" w:ascii="宋体" w:hAnsi="宋体"/>
          <w:b/>
          <w:i/>
          <w:iCs w:val="0"/>
          <w:sz w:val="24"/>
          <w:szCs w:val="24"/>
          <w:u w:val="single"/>
        </w:rPr>
        <w:t>(原件)</w:t>
      </w:r>
    </w:p>
    <w:p>
      <w:pPr>
        <w:spacing w:line="440" w:lineRule="exact"/>
        <w:ind w:firstLine="480" w:firstLineChars="200"/>
        <w:outlineLvl w:val="0"/>
        <w:rPr>
          <w:rFonts w:ascii="宋体" w:hAnsi="宋体"/>
          <w:i/>
          <w:iCs w:val="0"/>
          <w:sz w:val="24"/>
          <w:szCs w:val="24"/>
          <w:u w:val="single"/>
        </w:rPr>
      </w:pPr>
      <w:r>
        <w:rPr>
          <w:rFonts w:hint="eastAsia" w:ascii="宋体" w:hAnsi="宋体"/>
          <w:i/>
          <w:iCs w:val="0"/>
          <w:sz w:val="24"/>
          <w:szCs w:val="24"/>
          <w:u w:val="single"/>
        </w:rPr>
        <w:t>3 若法定代表人参加磋商的，须提供本人身份证复印件</w:t>
      </w:r>
      <w:r>
        <w:rPr>
          <w:rFonts w:hint="eastAsia" w:ascii="宋体" w:hAnsi="宋体"/>
          <w:b/>
          <w:i/>
          <w:iCs w:val="0"/>
          <w:sz w:val="24"/>
          <w:szCs w:val="24"/>
          <w:u w:val="single"/>
        </w:rPr>
        <w:t>(原件备查)</w:t>
      </w:r>
      <w:r>
        <w:rPr>
          <w:rFonts w:hint="eastAsia" w:ascii="宋体" w:hAnsi="宋体"/>
          <w:i/>
          <w:iCs w:val="0"/>
          <w:sz w:val="24"/>
          <w:szCs w:val="24"/>
          <w:u w:val="single"/>
        </w:rPr>
        <w:t>；若授权代表参加磋商的，须提供《法人授权书》原件和授权代表身份证复印件</w:t>
      </w:r>
      <w:r>
        <w:rPr>
          <w:rFonts w:hint="eastAsia" w:ascii="宋体" w:hAnsi="宋体"/>
          <w:b/>
          <w:i/>
          <w:iCs w:val="0"/>
          <w:sz w:val="24"/>
          <w:szCs w:val="24"/>
          <w:u w:val="single"/>
        </w:rPr>
        <w:t>(原件备查)</w:t>
      </w:r>
      <w:r>
        <w:rPr>
          <w:rFonts w:hint="eastAsia" w:ascii="宋体" w:hAnsi="宋体"/>
          <w:i/>
          <w:iCs w:val="0"/>
          <w:sz w:val="24"/>
          <w:szCs w:val="24"/>
          <w:u w:val="single"/>
        </w:rPr>
        <w:t>；</w:t>
      </w:r>
    </w:p>
    <w:p>
      <w:pPr>
        <w:spacing w:line="440" w:lineRule="exact"/>
        <w:ind w:firstLine="480" w:firstLineChars="200"/>
        <w:outlineLvl w:val="0"/>
        <w:rPr>
          <w:rFonts w:ascii="宋体" w:hAnsi="宋体"/>
          <w:b/>
          <w:i/>
          <w:iCs w:val="0"/>
          <w:sz w:val="24"/>
          <w:szCs w:val="24"/>
          <w:u w:val="single"/>
        </w:rPr>
      </w:pPr>
      <w:r>
        <w:rPr>
          <w:rFonts w:hint="eastAsia" w:ascii="宋体" w:hAnsi="宋体"/>
          <w:i/>
          <w:iCs w:val="0"/>
          <w:sz w:val="24"/>
          <w:szCs w:val="24"/>
          <w:u w:val="single"/>
        </w:rPr>
        <w:t>4 营业执照副本</w:t>
      </w:r>
      <w:r>
        <w:rPr>
          <w:rFonts w:hint="eastAsia" w:ascii="宋体" w:hAnsi="宋体"/>
          <w:b/>
          <w:i/>
          <w:iCs w:val="0"/>
          <w:sz w:val="24"/>
          <w:szCs w:val="24"/>
          <w:u w:val="single"/>
        </w:rPr>
        <w:t>(复印件加盖供应商公章)</w:t>
      </w:r>
    </w:p>
    <w:p>
      <w:pPr>
        <w:spacing w:line="360" w:lineRule="auto"/>
        <w:ind w:firstLine="480" w:firstLineChars="200"/>
        <w:rPr>
          <w:rFonts w:ascii="宋体" w:cs="宋体"/>
          <w:i/>
          <w:iCs w:val="0"/>
          <w:color w:val="000000"/>
          <w:sz w:val="24"/>
          <w:szCs w:val="24"/>
          <w:u w:val="single"/>
        </w:rPr>
      </w:pPr>
      <w:r>
        <w:rPr>
          <w:rFonts w:hint="eastAsia" w:ascii="宋体" w:hAnsi="宋体"/>
          <w:i/>
          <w:iCs w:val="0"/>
          <w:sz w:val="24"/>
          <w:szCs w:val="24"/>
          <w:u w:val="single"/>
        </w:rPr>
        <w:t xml:space="preserve">5 </w:t>
      </w:r>
      <w:r>
        <w:rPr>
          <w:rFonts w:hint="eastAsia" w:ascii="宋体" w:hAnsi="宋体" w:cs="宋体"/>
          <w:i/>
          <w:iCs w:val="0"/>
          <w:color w:val="000000"/>
          <w:sz w:val="24"/>
          <w:szCs w:val="24"/>
          <w:u w:val="single"/>
        </w:rPr>
        <w:t>依法缴纳职工社会保障资金的证明材料</w:t>
      </w:r>
      <w:r>
        <w:rPr>
          <w:rFonts w:ascii="宋体" w:hAnsi="宋体" w:cs="宋体"/>
          <w:b/>
          <w:i/>
          <w:iCs w:val="0"/>
          <w:color w:val="000000"/>
          <w:sz w:val="24"/>
          <w:szCs w:val="24"/>
          <w:u w:val="single"/>
        </w:rPr>
        <w:t>(</w:t>
      </w:r>
      <w:r>
        <w:rPr>
          <w:rFonts w:hint="eastAsia" w:ascii="宋体" w:hAnsi="宋体" w:cs="宋体"/>
          <w:b/>
          <w:i/>
          <w:iCs w:val="0"/>
          <w:color w:val="000000"/>
          <w:sz w:val="24"/>
          <w:szCs w:val="24"/>
          <w:u w:val="single"/>
        </w:rPr>
        <w:t>复印件加盖供应商公章</w:t>
      </w:r>
      <w:r>
        <w:rPr>
          <w:rFonts w:ascii="宋体" w:hAnsi="宋体" w:cs="宋体"/>
          <w:b/>
          <w:i/>
          <w:iCs w:val="0"/>
          <w:color w:val="000000"/>
          <w:sz w:val="24"/>
          <w:szCs w:val="24"/>
          <w:u w:val="single"/>
        </w:rPr>
        <w:t>)(</w:t>
      </w:r>
      <w:r>
        <w:rPr>
          <w:rFonts w:hint="eastAsia" w:ascii="宋体" w:hAnsi="宋体" w:cs="宋体"/>
          <w:b/>
          <w:i/>
          <w:iCs w:val="0"/>
          <w:color w:val="000000"/>
          <w:sz w:val="24"/>
          <w:szCs w:val="24"/>
          <w:u w:val="single"/>
        </w:rPr>
        <w:t>税务、银行或社会保险基金管理部门出具的</w:t>
      </w:r>
      <w:r>
        <w:rPr>
          <w:rFonts w:hint="default" w:ascii="宋体" w:hAnsi="宋体" w:cs="宋体"/>
          <w:b/>
          <w:i/>
          <w:iCs w:val="0"/>
          <w:color w:val="000000"/>
          <w:sz w:val="24"/>
          <w:szCs w:val="24"/>
          <w:u w:val="single"/>
          <w:lang w:val="en-US"/>
        </w:rPr>
        <w:t>2021年</w:t>
      </w:r>
      <w:r>
        <w:rPr>
          <w:rFonts w:hint="eastAsia" w:ascii="宋体" w:hAnsi="宋体" w:cs="宋体"/>
          <w:b/>
          <w:i/>
          <w:iCs w:val="0"/>
          <w:color w:val="000000"/>
          <w:sz w:val="24"/>
          <w:szCs w:val="24"/>
          <w:u w:val="single"/>
          <w:lang w:val="en-US" w:eastAsia="zh-CN"/>
        </w:rPr>
        <w:t>8</w:t>
      </w:r>
      <w:r>
        <w:rPr>
          <w:rFonts w:hint="default" w:ascii="宋体" w:hAnsi="宋体" w:cs="宋体"/>
          <w:b/>
          <w:i/>
          <w:iCs w:val="0"/>
          <w:color w:val="000000"/>
          <w:sz w:val="24"/>
          <w:szCs w:val="24"/>
          <w:u w:val="single"/>
          <w:lang w:val="en-US"/>
        </w:rPr>
        <w:t>月至2021年</w:t>
      </w:r>
      <w:r>
        <w:rPr>
          <w:rFonts w:hint="eastAsia" w:ascii="宋体" w:hAnsi="宋体" w:cs="宋体"/>
          <w:b/>
          <w:i/>
          <w:iCs w:val="0"/>
          <w:color w:val="000000"/>
          <w:sz w:val="24"/>
          <w:szCs w:val="24"/>
          <w:u w:val="single"/>
          <w:lang w:val="en-US" w:eastAsia="zh-CN"/>
        </w:rPr>
        <w:t>10</w:t>
      </w:r>
      <w:r>
        <w:rPr>
          <w:rFonts w:hint="default" w:ascii="宋体" w:hAnsi="宋体" w:cs="宋体"/>
          <w:b/>
          <w:i/>
          <w:iCs w:val="0"/>
          <w:color w:val="000000"/>
          <w:sz w:val="24"/>
          <w:szCs w:val="24"/>
          <w:u w:val="single"/>
          <w:lang w:val="en-US"/>
        </w:rPr>
        <w:t>月份</w:t>
      </w:r>
      <w:r>
        <w:rPr>
          <w:rFonts w:hint="eastAsia" w:ascii="宋体" w:hAnsi="宋体" w:cs="宋体"/>
          <w:b/>
          <w:i/>
          <w:iCs w:val="0"/>
          <w:color w:val="000000"/>
          <w:sz w:val="24"/>
          <w:szCs w:val="24"/>
          <w:u w:val="single"/>
        </w:rPr>
        <w:t>三个月内任意一份缴纳职工社会保障资金的缴款凭证或缴款证明</w:t>
      </w:r>
      <w:r>
        <w:rPr>
          <w:rFonts w:ascii="宋体" w:hAnsi="宋体" w:cs="宋体"/>
          <w:b/>
          <w:i/>
          <w:iCs w:val="0"/>
          <w:color w:val="000000"/>
          <w:sz w:val="24"/>
          <w:szCs w:val="24"/>
          <w:u w:val="single"/>
        </w:rPr>
        <w:t>)</w:t>
      </w:r>
    </w:p>
    <w:p>
      <w:pPr>
        <w:spacing w:line="440" w:lineRule="exact"/>
        <w:ind w:firstLine="480" w:firstLineChars="200"/>
        <w:outlineLvl w:val="0"/>
        <w:rPr>
          <w:rFonts w:ascii="宋体" w:hAnsi="宋体"/>
          <w:i/>
          <w:iCs w:val="0"/>
          <w:sz w:val="24"/>
          <w:szCs w:val="24"/>
          <w:u w:val="single"/>
        </w:rPr>
      </w:pPr>
      <w:r>
        <w:rPr>
          <w:rFonts w:hint="eastAsia" w:ascii="宋体" w:hAnsi="宋体"/>
          <w:i/>
          <w:iCs w:val="0"/>
          <w:sz w:val="24"/>
          <w:szCs w:val="24"/>
          <w:u w:val="single"/>
        </w:rPr>
        <w:t>6 供应商</w:t>
      </w:r>
      <w:r>
        <w:rPr>
          <w:rFonts w:hint="default" w:ascii="宋体" w:hAnsi="宋体" w:cs="宋体"/>
          <w:bCs/>
          <w:i/>
          <w:iCs w:val="0"/>
          <w:color w:val="000000"/>
          <w:sz w:val="24"/>
          <w:szCs w:val="24"/>
          <w:u w:val="single"/>
          <w:lang w:val="en-US"/>
        </w:rPr>
        <w:t>2021年</w:t>
      </w:r>
      <w:r>
        <w:rPr>
          <w:rFonts w:hint="eastAsia" w:ascii="宋体" w:hAnsi="宋体" w:cs="宋体"/>
          <w:bCs/>
          <w:i/>
          <w:iCs w:val="0"/>
          <w:color w:val="000000"/>
          <w:sz w:val="24"/>
          <w:szCs w:val="24"/>
          <w:u w:val="single"/>
          <w:lang w:val="en-US" w:eastAsia="zh-CN"/>
        </w:rPr>
        <w:t>8</w:t>
      </w:r>
      <w:r>
        <w:rPr>
          <w:rFonts w:hint="default" w:ascii="宋体" w:hAnsi="宋体" w:cs="宋体"/>
          <w:bCs/>
          <w:i/>
          <w:iCs w:val="0"/>
          <w:color w:val="000000"/>
          <w:sz w:val="24"/>
          <w:szCs w:val="24"/>
          <w:u w:val="single"/>
          <w:lang w:val="en-US"/>
        </w:rPr>
        <w:t>月至2021年</w:t>
      </w:r>
      <w:r>
        <w:rPr>
          <w:rFonts w:hint="eastAsia" w:ascii="宋体" w:hAnsi="宋体" w:cs="宋体"/>
          <w:bCs/>
          <w:i/>
          <w:iCs w:val="0"/>
          <w:color w:val="000000"/>
          <w:sz w:val="24"/>
          <w:szCs w:val="24"/>
          <w:u w:val="single"/>
          <w:lang w:val="en-US" w:eastAsia="zh-CN"/>
        </w:rPr>
        <w:t>10</w:t>
      </w:r>
      <w:r>
        <w:rPr>
          <w:rFonts w:hint="default" w:ascii="宋体" w:hAnsi="宋体" w:cs="宋体"/>
          <w:bCs/>
          <w:i/>
          <w:iCs w:val="0"/>
          <w:color w:val="000000"/>
          <w:sz w:val="24"/>
          <w:szCs w:val="24"/>
          <w:u w:val="single"/>
          <w:lang w:val="en-US"/>
        </w:rPr>
        <w:t>月份</w:t>
      </w:r>
      <w:r>
        <w:rPr>
          <w:rFonts w:hint="eastAsia" w:ascii="宋体" w:hAnsi="宋体"/>
          <w:i/>
          <w:iCs w:val="0"/>
          <w:sz w:val="24"/>
          <w:szCs w:val="24"/>
          <w:u w:val="single"/>
        </w:rPr>
        <w:t>三个月内任意一份依法纳税的缴款凭证</w:t>
      </w:r>
      <w:r>
        <w:rPr>
          <w:rFonts w:hint="eastAsia" w:ascii="宋体" w:hAnsi="宋体"/>
          <w:b/>
          <w:i/>
          <w:iCs w:val="0"/>
          <w:sz w:val="24"/>
          <w:szCs w:val="24"/>
          <w:u w:val="single"/>
        </w:rPr>
        <w:t>(复印件加盖供应商公章)</w:t>
      </w:r>
    </w:p>
    <w:p>
      <w:pPr>
        <w:spacing w:line="440" w:lineRule="exact"/>
        <w:ind w:firstLine="480" w:firstLineChars="200"/>
        <w:outlineLvl w:val="0"/>
        <w:rPr>
          <w:rFonts w:ascii="宋体" w:hAnsi="宋体"/>
          <w:b/>
          <w:i/>
          <w:iCs w:val="0"/>
          <w:sz w:val="24"/>
          <w:szCs w:val="24"/>
          <w:u w:val="single"/>
        </w:rPr>
      </w:pPr>
      <w:r>
        <w:rPr>
          <w:rFonts w:hint="eastAsia" w:ascii="宋体" w:hAnsi="宋体"/>
          <w:i/>
          <w:iCs w:val="0"/>
          <w:sz w:val="24"/>
          <w:szCs w:val="24"/>
          <w:u w:val="single"/>
        </w:rPr>
        <w:t>7 与第（6）条相对应的纳税申报表或经会计师事务所审计的</w:t>
      </w:r>
      <w:r>
        <w:rPr>
          <w:rFonts w:hint="eastAsia" w:ascii="宋体" w:hAnsi="宋体"/>
          <w:i/>
          <w:iCs w:val="0"/>
          <w:sz w:val="24"/>
          <w:szCs w:val="24"/>
          <w:u w:val="single"/>
          <w:lang w:val="en-US" w:eastAsia="zh-CN"/>
        </w:rPr>
        <w:t>2020</w:t>
      </w:r>
      <w:r>
        <w:rPr>
          <w:rFonts w:hint="eastAsia" w:ascii="宋体" w:hAnsi="宋体"/>
          <w:i/>
          <w:iCs w:val="0"/>
          <w:sz w:val="24"/>
          <w:szCs w:val="24"/>
          <w:u w:val="single"/>
        </w:rPr>
        <w:t xml:space="preserve">年度财务报告 </w:t>
      </w:r>
      <w:r>
        <w:rPr>
          <w:rFonts w:hint="eastAsia" w:ascii="宋体" w:hAnsi="宋体"/>
          <w:b/>
          <w:i/>
          <w:iCs w:val="0"/>
          <w:sz w:val="24"/>
          <w:szCs w:val="24"/>
          <w:u w:val="single"/>
        </w:rPr>
        <w:t>(复印件加盖供应商公章)</w:t>
      </w:r>
    </w:p>
    <w:p>
      <w:pPr>
        <w:spacing w:line="440" w:lineRule="exact"/>
        <w:ind w:firstLine="480" w:firstLineChars="200"/>
        <w:outlineLvl w:val="0"/>
        <w:rPr>
          <w:rFonts w:hint="eastAsia" w:ascii="宋体" w:hAnsi="宋体"/>
          <w:b/>
          <w:i/>
          <w:iCs w:val="0"/>
          <w:sz w:val="24"/>
          <w:szCs w:val="24"/>
          <w:u w:val="single"/>
        </w:rPr>
      </w:pPr>
      <w:r>
        <w:rPr>
          <w:rFonts w:hint="eastAsia" w:ascii="宋体" w:hAnsi="宋体"/>
          <w:i/>
          <w:iCs w:val="0"/>
          <w:sz w:val="24"/>
          <w:szCs w:val="24"/>
          <w:u w:val="single"/>
        </w:rPr>
        <w:t>8 供应商参加本次政府采购活动前3年内在经营活动中没有重大违法记录的书面声明</w:t>
      </w:r>
      <w:r>
        <w:rPr>
          <w:rFonts w:hint="eastAsia" w:ascii="宋体" w:hAnsi="宋体"/>
          <w:b/>
          <w:i/>
          <w:iCs w:val="0"/>
          <w:sz w:val="24"/>
          <w:szCs w:val="24"/>
          <w:u w:val="single"/>
        </w:rPr>
        <w:t>（原件）</w:t>
      </w:r>
    </w:p>
    <w:p>
      <w:pPr>
        <w:spacing w:line="440" w:lineRule="exact"/>
        <w:ind w:firstLine="480" w:firstLineChars="200"/>
        <w:outlineLvl w:val="0"/>
        <w:rPr>
          <w:rFonts w:hint="eastAsia" w:ascii="宋体" w:hAnsi="宋体" w:eastAsia="宋体"/>
          <w:b/>
          <w:bCs/>
          <w:i/>
          <w:iCs w:val="0"/>
          <w:sz w:val="24"/>
          <w:szCs w:val="24"/>
          <w:u w:val="single"/>
        </w:rPr>
      </w:pPr>
      <w:r>
        <w:rPr>
          <w:rFonts w:hint="eastAsia" w:ascii="宋体" w:hAnsi="宋体" w:eastAsia="宋体"/>
          <w:i/>
          <w:iCs w:val="0"/>
          <w:sz w:val="24"/>
          <w:szCs w:val="24"/>
          <w:u w:val="single"/>
        </w:rPr>
        <w:t>9、未被“信用中国”网站（www.creditchina.gov.cn）、“中国政府采购网"(www.ccgp.gov.cn)列入失信被执行人、重大税收违法案件当事人名单、政府采购严重违法失信行为记录名单</w:t>
      </w:r>
      <w:r>
        <w:rPr>
          <w:rFonts w:hint="eastAsia" w:ascii="宋体" w:hAnsi="宋体" w:eastAsia="宋体"/>
          <w:b/>
          <w:bCs/>
          <w:i/>
          <w:iCs w:val="0"/>
          <w:sz w:val="24"/>
          <w:szCs w:val="24"/>
          <w:u w:val="single"/>
        </w:rPr>
        <w:t>（提供网页截图，加盖公章）</w:t>
      </w:r>
    </w:p>
    <w:p>
      <w:pPr>
        <w:spacing w:line="440" w:lineRule="exact"/>
        <w:ind w:firstLine="480" w:firstLineChars="200"/>
        <w:outlineLvl w:val="0"/>
        <w:rPr>
          <w:rFonts w:hint="eastAsia" w:ascii="宋体" w:hAnsi="宋体" w:eastAsia="宋体"/>
          <w:i/>
          <w:iCs w:val="0"/>
          <w:sz w:val="24"/>
          <w:szCs w:val="24"/>
          <w:u w:val="single"/>
          <w:lang w:val="en-US" w:eastAsia="zh-CN"/>
        </w:rPr>
      </w:pPr>
      <w:r>
        <w:rPr>
          <w:rFonts w:hint="default" w:ascii="宋体" w:hAnsi="宋体" w:eastAsia="宋体"/>
          <w:i/>
          <w:iCs w:val="0"/>
          <w:sz w:val="24"/>
          <w:szCs w:val="24"/>
          <w:u w:val="single"/>
          <w:lang w:val="en-US" w:eastAsia="zh-CN"/>
        </w:rPr>
        <w:t>10</w:t>
      </w:r>
      <w:r>
        <w:rPr>
          <w:rFonts w:hint="eastAsia" w:ascii="宋体" w:hAnsi="宋体" w:eastAsia="宋体"/>
          <w:i/>
          <w:iCs w:val="0"/>
          <w:sz w:val="24"/>
          <w:szCs w:val="24"/>
          <w:u w:val="single"/>
          <w:lang w:val="en-US" w:eastAsia="zh-CN"/>
        </w:rPr>
        <w:t>、</w:t>
      </w:r>
      <w:r>
        <w:rPr>
          <w:rFonts w:hint="eastAsia" w:ascii="宋体" w:hAnsi="宋体" w:eastAsia="宋体"/>
          <w:i/>
          <w:iCs w:val="0"/>
          <w:sz w:val="24"/>
          <w:szCs w:val="24"/>
          <w:u w:val="single"/>
        </w:rPr>
        <w:t>供应商信用承诺书</w:t>
      </w:r>
      <w:r>
        <w:rPr>
          <w:rFonts w:hint="eastAsia" w:ascii="宋体" w:hAnsi="宋体"/>
          <w:b/>
          <w:i/>
          <w:iCs w:val="0"/>
          <w:sz w:val="24"/>
          <w:szCs w:val="24"/>
          <w:u w:val="single"/>
        </w:rPr>
        <w:t>(原件)</w:t>
      </w:r>
    </w:p>
    <w:p>
      <w:pPr>
        <w:numPr>
          <w:ilvl w:val="0"/>
          <w:numId w:val="3"/>
        </w:numPr>
        <w:snapToGrid w:val="0"/>
        <w:spacing w:line="440" w:lineRule="exact"/>
        <w:ind w:firstLine="315" w:firstLineChars="150"/>
        <w:rPr>
          <w:rFonts w:ascii="宋体" w:hAnsi="宋体"/>
          <w:b/>
          <w:bCs/>
          <w:szCs w:val="21"/>
        </w:rPr>
      </w:pPr>
      <w:r>
        <w:rPr>
          <w:rFonts w:hint="eastAsia" w:ascii="宋体" w:hAnsi="宋体" w:cs="Arial"/>
          <w:szCs w:val="21"/>
        </w:rPr>
        <w:t>其他资格条件</w:t>
      </w:r>
      <w:r>
        <w:rPr>
          <w:rFonts w:hint="eastAsia" w:ascii="宋体" w:hAnsi="宋体"/>
          <w:szCs w:val="21"/>
        </w:rPr>
        <w:t>：无</w:t>
      </w:r>
    </w:p>
    <w:p>
      <w:pPr>
        <w:snapToGrid w:val="0"/>
        <w:spacing w:line="440" w:lineRule="exact"/>
        <w:ind w:firstLine="315" w:firstLineChars="150"/>
        <w:rPr>
          <w:rFonts w:ascii="宋体" w:hAnsi="宋体" w:cs="Arial"/>
          <w:color w:val="000000"/>
          <w:szCs w:val="21"/>
        </w:rPr>
      </w:pPr>
      <w:r>
        <w:rPr>
          <w:rFonts w:hint="eastAsia" w:ascii="宋体" w:hAnsi="宋体" w:cs="Arial"/>
          <w:color w:val="000000"/>
          <w:szCs w:val="21"/>
        </w:rPr>
        <w:t>（三）拒绝下述供应商参加本次采购活动：</w:t>
      </w:r>
    </w:p>
    <w:p>
      <w:pPr>
        <w:spacing w:line="440" w:lineRule="exact"/>
        <w:ind w:firstLine="420" w:firstLineChars="200"/>
        <w:outlineLvl w:val="0"/>
        <w:rPr>
          <w:rFonts w:ascii="宋体" w:hAnsi="宋体"/>
          <w:color w:val="000000"/>
          <w:szCs w:val="21"/>
        </w:rPr>
      </w:pPr>
      <w:r>
        <w:rPr>
          <w:rFonts w:hint="eastAsia" w:ascii="宋体" w:hAnsi="宋体"/>
          <w:color w:val="000000"/>
          <w:szCs w:val="21"/>
        </w:rPr>
        <w:t>（1）供应商单位负责人为同一人或者存在直接控股、管理关系的不同供应商，不得参加同一合同项下的政府采购活动。</w:t>
      </w:r>
    </w:p>
    <w:p>
      <w:pPr>
        <w:spacing w:line="440" w:lineRule="exact"/>
        <w:ind w:firstLine="420" w:firstLineChars="200"/>
        <w:outlineLvl w:val="0"/>
        <w:rPr>
          <w:rFonts w:ascii="宋体" w:hAnsi="宋体"/>
          <w:color w:val="000000"/>
          <w:szCs w:val="21"/>
        </w:rPr>
      </w:pPr>
      <w:r>
        <w:rPr>
          <w:rFonts w:hint="eastAsia" w:ascii="宋体" w:hAnsi="宋体"/>
          <w:color w:val="000000"/>
          <w:szCs w:val="21"/>
        </w:rPr>
        <w:t>（2）凡为采购项目提供整体设计、规范编制或者项目管理、监理、检测等服务的供应商，不得再参加该项目的其他采购活动。</w:t>
      </w:r>
    </w:p>
    <w:p>
      <w:pPr>
        <w:spacing w:line="440" w:lineRule="exact"/>
        <w:ind w:firstLine="420" w:firstLineChars="200"/>
        <w:outlineLvl w:val="0"/>
        <w:rPr>
          <w:rFonts w:ascii="宋体" w:hAnsi="宋体"/>
          <w:color w:val="000000"/>
          <w:szCs w:val="21"/>
        </w:rPr>
      </w:pPr>
      <w:r>
        <w:rPr>
          <w:rFonts w:hint="eastAsia" w:ascii="宋体" w:hAnsi="宋体"/>
          <w:color w:val="000000"/>
          <w:szCs w:val="21"/>
        </w:rPr>
        <w:t>（3）供应商被“信用中国”网站（www.creditchina.gov.cn）、“中国政府采购网"(www.ccgp.gov.cn)列入失信被执行人、重大税收违法案件当事人名单、政府采购严重违法失信行为记录名单。</w:t>
      </w:r>
    </w:p>
    <w:p>
      <w:pPr>
        <w:spacing w:line="440" w:lineRule="exact"/>
        <w:ind w:firstLine="420" w:firstLineChars="200"/>
        <w:outlineLvl w:val="0"/>
        <w:rPr>
          <w:rFonts w:ascii="宋体" w:hAnsi="宋体"/>
          <w:szCs w:val="21"/>
        </w:rPr>
      </w:pPr>
      <w:r>
        <w:rPr>
          <w:rFonts w:hint="eastAsia" w:ascii="宋体" w:hAnsi="宋体"/>
          <w:szCs w:val="21"/>
        </w:rPr>
        <w:t>（</w:t>
      </w:r>
      <w:r>
        <w:rPr>
          <w:rFonts w:hint="eastAsia" w:ascii="宋体" w:hAnsi="宋体"/>
          <w:szCs w:val="21"/>
          <w:lang w:eastAsia="zh-CN"/>
        </w:rPr>
        <w:t>四</w:t>
      </w:r>
      <w:r>
        <w:rPr>
          <w:rFonts w:hint="eastAsia" w:ascii="宋体" w:hAnsi="宋体"/>
          <w:szCs w:val="21"/>
        </w:rPr>
        <w:t>）本项目</w:t>
      </w:r>
      <w:r>
        <w:rPr>
          <w:rFonts w:hint="eastAsia" w:ascii="宋体" w:hAnsi="宋体"/>
          <w:color w:val="000000"/>
          <w:szCs w:val="21"/>
          <w:u w:val="single"/>
        </w:rPr>
        <w:t>不接受</w:t>
      </w:r>
      <w:r>
        <w:rPr>
          <w:rFonts w:hint="eastAsia" w:ascii="宋体" w:hAnsi="宋体"/>
          <w:szCs w:val="21"/>
        </w:rPr>
        <w:t>联合体参加磋商；</w:t>
      </w:r>
    </w:p>
    <w:p>
      <w:pPr>
        <w:spacing w:line="360" w:lineRule="auto"/>
        <w:ind w:firstLine="411" w:firstLineChars="196"/>
        <w:rPr>
          <w:rFonts w:ascii="宋体" w:hAnsi="宋体"/>
          <w:color w:val="000000"/>
          <w:szCs w:val="21"/>
        </w:rPr>
      </w:pPr>
      <w:r>
        <w:rPr>
          <w:rFonts w:hint="eastAsia" w:ascii="宋体" w:hAnsi="宋体"/>
          <w:color w:val="000000"/>
          <w:szCs w:val="21"/>
        </w:rPr>
        <w:t>（</w:t>
      </w:r>
      <w:r>
        <w:rPr>
          <w:rFonts w:hint="eastAsia" w:ascii="宋体" w:hAnsi="宋体"/>
          <w:color w:val="000000"/>
          <w:szCs w:val="21"/>
          <w:lang w:eastAsia="zh-CN"/>
        </w:rPr>
        <w:t>五</w:t>
      </w:r>
      <w:r>
        <w:rPr>
          <w:rFonts w:hint="eastAsia" w:ascii="宋体" w:hAnsi="宋体"/>
          <w:color w:val="000000"/>
          <w:szCs w:val="21"/>
        </w:rPr>
        <w:t>）本项目</w:t>
      </w:r>
      <w:r>
        <w:rPr>
          <w:rFonts w:hint="eastAsia" w:ascii="宋体" w:hAnsi="宋体"/>
          <w:color w:val="000000"/>
          <w:szCs w:val="21"/>
          <w:u w:val="single"/>
        </w:rPr>
        <w:t>不接受</w:t>
      </w:r>
      <w:r>
        <w:rPr>
          <w:rFonts w:hint="eastAsia" w:ascii="宋体" w:hAnsi="宋体"/>
          <w:color w:val="000000"/>
          <w:szCs w:val="21"/>
        </w:rPr>
        <w:t>进口产品参加磋商；</w:t>
      </w:r>
    </w:p>
    <w:p>
      <w:pPr>
        <w:spacing w:line="360" w:lineRule="auto"/>
        <w:ind w:firstLine="413" w:firstLineChars="196"/>
        <w:rPr>
          <w:rFonts w:hAnsi="宋体"/>
          <w:b/>
          <w:bCs/>
          <w:szCs w:val="21"/>
        </w:rPr>
      </w:pPr>
      <w:r>
        <w:rPr>
          <w:rFonts w:hint="eastAsia" w:hAnsi="宋体"/>
          <w:b/>
          <w:bCs/>
          <w:szCs w:val="21"/>
        </w:rPr>
        <w:t>四、采购项目信息</w:t>
      </w:r>
    </w:p>
    <w:p>
      <w:pPr>
        <w:tabs>
          <w:tab w:val="left" w:pos="900"/>
        </w:tabs>
        <w:spacing w:line="360" w:lineRule="auto"/>
        <w:ind w:firstLine="420"/>
        <w:rPr>
          <w:rFonts w:ascii="宋体" w:hAnsi="宋体"/>
          <w:color w:val="000000"/>
          <w:szCs w:val="21"/>
        </w:rPr>
      </w:pPr>
      <w:r>
        <w:rPr>
          <w:rFonts w:hint="eastAsia" w:hAnsi="宋体" w:cs="Arial"/>
          <w:szCs w:val="21"/>
        </w:rPr>
        <w:t>磋商文件提供及公告期限：自磋商公告在“</w:t>
      </w:r>
      <w:r>
        <w:rPr>
          <w:rFonts w:hint="eastAsia" w:hAnsi="宋体" w:cs="Arial"/>
          <w:szCs w:val="21"/>
          <w:lang w:eastAsia="zh-CN"/>
        </w:rPr>
        <w:t>扬州高等职业技术学校网站</w:t>
      </w:r>
      <w:r>
        <w:rPr>
          <w:rFonts w:hint="eastAsia" w:hAnsi="宋体" w:cs="Arial"/>
          <w:szCs w:val="21"/>
        </w:rPr>
        <w:t>”发布之日起5个工作日。磋商文件</w:t>
      </w:r>
      <w:r>
        <w:rPr>
          <w:rFonts w:hint="eastAsia" w:hAnsi="宋体"/>
          <w:szCs w:val="21"/>
        </w:rPr>
        <w:t>在“</w:t>
      </w:r>
      <w:r>
        <w:rPr>
          <w:rFonts w:hint="eastAsia" w:hAnsi="宋体" w:cs="Arial"/>
          <w:szCs w:val="21"/>
          <w:lang w:eastAsia="zh-CN"/>
        </w:rPr>
        <w:t>扬州高等职业技术学校网站</w:t>
      </w:r>
      <w:r>
        <w:rPr>
          <w:rFonts w:hint="eastAsia" w:hAnsi="宋体"/>
          <w:szCs w:val="21"/>
        </w:rPr>
        <w:t>”上下载，供应商如确定参加磋商，请如实填写《供应商参加磋商确认函》</w:t>
      </w:r>
      <w:r>
        <w:rPr>
          <w:rFonts w:hint="eastAsia" w:hAnsi="宋体" w:eastAsia="宋体" w:cs="Arial"/>
          <w:szCs w:val="21"/>
          <w:lang w:eastAsia="zh-CN"/>
        </w:rPr>
        <w:t>并在</w:t>
      </w:r>
      <w:r>
        <w:rPr>
          <w:rFonts w:hint="default" w:hAnsi="宋体" w:eastAsia="宋体" w:cs="Arial"/>
          <w:szCs w:val="21"/>
          <w:lang w:val="en-US" w:eastAsia="zh-CN"/>
        </w:rPr>
        <w:t>2021</w:t>
      </w:r>
      <w:r>
        <w:rPr>
          <w:rFonts w:hint="eastAsia" w:hAnsi="宋体" w:eastAsia="宋体" w:cs="Arial"/>
          <w:szCs w:val="21"/>
          <w:lang w:val="en-US" w:eastAsia="zh-CN"/>
        </w:rPr>
        <w:t>年</w:t>
      </w:r>
      <w:r>
        <w:rPr>
          <w:rFonts w:hint="eastAsia" w:hAnsi="宋体" w:cs="Arial"/>
          <w:szCs w:val="21"/>
          <w:lang w:val="en-US" w:eastAsia="zh-CN"/>
        </w:rPr>
        <w:t>11</w:t>
      </w:r>
      <w:r>
        <w:rPr>
          <w:rFonts w:hint="eastAsia" w:hAnsi="宋体" w:eastAsia="宋体" w:cs="Arial"/>
          <w:szCs w:val="21"/>
          <w:lang w:val="en-US" w:eastAsia="zh-CN"/>
        </w:rPr>
        <w:t>月</w:t>
      </w:r>
      <w:r>
        <w:rPr>
          <w:rFonts w:hint="eastAsia" w:hAnsi="宋体" w:cs="Arial"/>
          <w:szCs w:val="21"/>
          <w:lang w:val="en-US" w:eastAsia="zh-CN"/>
        </w:rPr>
        <w:t>2</w:t>
      </w:r>
      <w:r>
        <w:rPr>
          <w:rFonts w:hint="default" w:hAnsi="宋体" w:cs="Arial"/>
          <w:szCs w:val="21"/>
          <w:lang w:val="en-US" w:eastAsia="zh-CN"/>
        </w:rPr>
        <w:t>6</w:t>
      </w:r>
      <w:r>
        <w:rPr>
          <w:rFonts w:hint="eastAsia" w:hAnsi="宋体" w:eastAsia="宋体" w:cs="Arial"/>
          <w:szCs w:val="21"/>
          <w:lang w:val="en-US" w:eastAsia="zh-CN"/>
        </w:rPr>
        <w:t>日18：00前</w:t>
      </w:r>
      <w:r>
        <w:rPr>
          <w:rFonts w:hint="eastAsia" w:hAnsi="宋体" w:eastAsia="宋体" w:cs="Arial"/>
          <w:szCs w:val="21"/>
          <w:lang w:eastAsia="zh-CN"/>
        </w:rPr>
        <w:t>将加盖供应商公章的《</w:t>
      </w:r>
      <w:r>
        <w:rPr>
          <w:rFonts w:hint="eastAsia" w:hAnsi="宋体"/>
          <w:kern w:val="0"/>
          <w:szCs w:val="21"/>
        </w:rPr>
        <w:t>供应商参加磋商确认函》的图片或扫描件发送至采购代理机构经办人</w:t>
      </w:r>
      <w:r>
        <w:rPr>
          <w:rFonts w:hint="eastAsia" w:hAnsi="宋体"/>
          <w:szCs w:val="21"/>
        </w:rPr>
        <w:t>电子邮箱进行报名</w:t>
      </w:r>
      <w:r>
        <w:rPr>
          <w:rFonts w:hint="eastAsia" w:hAnsi="宋体"/>
          <w:szCs w:val="21"/>
          <w:lang w:eastAsia="zh-CN"/>
        </w:rPr>
        <w:t>，</w:t>
      </w:r>
      <w:r>
        <w:rPr>
          <w:rFonts w:hint="eastAsia" w:hAnsi="宋体"/>
          <w:szCs w:val="21"/>
        </w:rPr>
        <w:t>邮箱：</w:t>
      </w:r>
      <w:r>
        <w:rPr>
          <w:rFonts w:hint="eastAsia" w:hAnsi="宋体"/>
          <w:szCs w:val="21"/>
          <w:lang w:eastAsia="zh-CN"/>
        </w:rPr>
        <w:t>843871345@qq.com</w:t>
      </w:r>
      <w:r>
        <w:rPr>
          <w:rFonts w:hint="eastAsia" w:hAnsi="宋体"/>
          <w:szCs w:val="21"/>
        </w:rPr>
        <w:t>，电话：</w:t>
      </w:r>
      <w:r>
        <w:rPr>
          <w:rFonts w:hint="eastAsia" w:hAnsi="宋体"/>
          <w:szCs w:val="21"/>
          <w:lang w:eastAsia="zh-CN"/>
        </w:rPr>
        <w:t>0514-87116778</w:t>
      </w:r>
      <w:r>
        <w:rPr>
          <w:rFonts w:hint="eastAsia" w:hAnsi="宋体"/>
          <w:szCs w:val="21"/>
        </w:rPr>
        <w:t>，同时需与采购代理机构经办人确认是否收到《供应商参加磋商确认函》，如供应商未按上述要求去做，将自行承担所产生的风险。未报名（提交《供应商参加磋商确认函》）者、超过时限者不得前来参加磋商，内容不全者后果自负。有关本次采购的事项若存在变动或修改，敬请及时关注“</w:t>
      </w:r>
      <w:r>
        <w:rPr>
          <w:rFonts w:hint="eastAsia" w:hAnsi="宋体"/>
          <w:szCs w:val="21"/>
          <w:lang w:eastAsia="zh-CN"/>
        </w:rPr>
        <w:t>扬州高等职业技术学校网站</w:t>
      </w:r>
      <w:r>
        <w:rPr>
          <w:rFonts w:hint="eastAsia" w:hAnsi="宋体"/>
          <w:szCs w:val="21"/>
        </w:rPr>
        <w:t>”发布的信息或更正公告。</w:t>
      </w:r>
    </w:p>
    <w:p>
      <w:pPr>
        <w:snapToGrid w:val="0"/>
        <w:spacing w:line="440" w:lineRule="exact"/>
        <w:ind w:firstLine="316" w:firstLineChars="150"/>
        <w:rPr>
          <w:rFonts w:ascii="宋体" w:hAnsi="宋体"/>
          <w:color w:val="000000"/>
          <w:szCs w:val="21"/>
        </w:rPr>
      </w:pPr>
      <w:r>
        <w:rPr>
          <w:rFonts w:hint="eastAsia" w:ascii="宋体" w:hAnsi="宋体"/>
          <w:b/>
          <w:bCs/>
          <w:color w:val="000000"/>
          <w:szCs w:val="21"/>
        </w:rPr>
        <w:t>五、磋商响应文件接收截止时间和地点</w:t>
      </w:r>
    </w:p>
    <w:p>
      <w:pPr>
        <w:spacing w:line="440" w:lineRule="exact"/>
        <w:ind w:firstLine="420" w:firstLineChars="200"/>
        <w:rPr>
          <w:rFonts w:ascii="宋体" w:hAnsi="宋体"/>
          <w:color w:val="000000"/>
          <w:szCs w:val="21"/>
        </w:rPr>
      </w:pPr>
      <w:r>
        <w:rPr>
          <w:rFonts w:hint="eastAsia" w:ascii="宋体" w:hAnsi="宋体"/>
          <w:color w:val="000000"/>
          <w:szCs w:val="21"/>
        </w:rPr>
        <w:t>（一）响应文件接收开始时间：</w:t>
      </w:r>
      <w:bookmarkStart w:id="2" w:name="XMTBJSL_1"/>
      <w:r>
        <w:rPr>
          <w:rFonts w:hint="eastAsia" w:ascii="宋体" w:hAnsi="宋体"/>
          <w:color w:val="000000"/>
          <w:szCs w:val="21"/>
        </w:rPr>
        <w:t>202</w:t>
      </w:r>
      <w:r>
        <w:rPr>
          <w:rFonts w:hint="eastAsia" w:ascii="宋体" w:hAnsi="宋体"/>
          <w:color w:val="000000"/>
          <w:szCs w:val="21"/>
          <w:lang w:val="en-US" w:eastAsia="zh-CN"/>
        </w:rPr>
        <w:t>1</w:t>
      </w:r>
      <w:r>
        <w:rPr>
          <w:rFonts w:hint="eastAsia" w:ascii="宋体" w:hAnsi="宋体"/>
          <w:color w:val="000000"/>
          <w:szCs w:val="21"/>
        </w:rPr>
        <w:t>年</w:t>
      </w:r>
      <w:r>
        <w:rPr>
          <w:rFonts w:hint="eastAsia" w:ascii="宋体" w:hAnsi="宋体"/>
          <w:color w:val="000000"/>
          <w:szCs w:val="21"/>
          <w:lang w:val="en-US" w:eastAsia="zh-CN"/>
        </w:rPr>
        <w:t>11</w:t>
      </w:r>
      <w:r>
        <w:rPr>
          <w:rFonts w:hint="eastAsia" w:ascii="宋体" w:hAnsi="宋体"/>
          <w:color w:val="000000"/>
          <w:szCs w:val="21"/>
        </w:rPr>
        <w:t>月</w:t>
      </w:r>
      <w:r>
        <w:rPr>
          <w:rFonts w:hint="eastAsia" w:ascii="宋体" w:hAnsi="宋体"/>
          <w:color w:val="000000"/>
          <w:szCs w:val="21"/>
          <w:lang w:val="en-US" w:eastAsia="zh-CN"/>
        </w:rPr>
        <w:t xml:space="preserve"> 30 </w:t>
      </w:r>
      <w:r>
        <w:rPr>
          <w:rFonts w:hint="eastAsia" w:ascii="宋体" w:hAnsi="宋体"/>
          <w:color w:val="000000"/>
          <w:szCs w:val="21"/>
        </w:rPr>
        <w:t>日</w:t>
      </w:r>
      <w:r>
        <w:rPr>
          <w:rFonts w:hint="eastAsia" w:ascii="宋体" w:hAnsi="宋体"/>
          <w:color w:val="000000"/>
          <w:szCs w:val="21"/>
          <w:lang w:val="en-US" w:eastAsia="zh-CN"/>
        </w:rPr>
        <w:t>9</w:t>
      </w:r>
      <w:r>
        <w:rPr>
          <w:rFonts w:hint="eastAsia" w:ascii="宋体" w:hAnsi="宋体"/>
          <w:color w:val="000000"/>
          <w:szCs w:val="21"/>
        </w:rPr>
        <w:t>时</w:t>
      </w:r>
      <w:r>
        <w:rPr>
          <w:rFonts w:hint="eastAsia" w:ascii="宋体" w:hAnsi="宋体"/>
          <w:color w:val="000000"/>
          <w:szCs w:val="21"/>
          <w:lang w:val="en-US" w:eastAsia="zh-CN"/>
        </w:rPr>
        <w:t>00</w:t>
      </w:r>
      <w:r>
        <w:rPr>
          <w:rFonts w:ascii="宋体" w:hAnsi="宋体"/>
          <w:color w:val="000000"/>
          <w:szCs w:val="21"/>
        </w:rPr>
        <w:t>分</w:t>
      </w:r>
      <w:bookmarkEnd w:id="2"/>
    </w:p>
    <w:p>
      <w:pPr>
        <w:spacing w:line="440" w:lineRule="exact"/>
        <w:ind w:firstLine="420" w:firstLineChars="200"/>
        <w:rPr>
          <w:rFonts w:ascii="宋体" w:hAnsi="宋体"/>
          <w:color w:val="000000"/>
          <w:szCs w:val="21"/>
        </w:rPr>
      </w:pPr>
      <w:r>
        <w:rPr>
          <w:rFonts w:hint="eastAsia" w:ascii="宋体" w:hAnsi="宋体"/>
          <w:color w:val="000000"/>
          <w:szCs w:val="21"/>
        </w:rPr>
        <w:t>（二）响应文件接收截止时间：</w:t>
      </w:r>
      <w:bookmarkStart w:id="3" w:name="XMTBJSR_1"/>
      <w:r>
        <w:rPr>
          <w:rFonts w:hint="eastAsia" w:ascii="宋体" w:hAnsi="宋体"/>
          <w:color w:val="000000"/>
          <w:szCs w:val="21"/>
        </w:rPr>
        <w:t>202</w:t>
      </w:r>
      <w:r>
        <w:rPr>
          <w:rFonts w:hint="eastAsia" w:ascii="宋体" w:hAnsi="宋体"/>
          <w:color w:val="000000"/>
          <w:szCs w:val="21"/>
          <w:lang w:val="en-US" w:eastAsia="zh-CN"/>
        </w:rPr>
        <w:t>1</w:t>
      </w:r>
      <w:r>
        <w:rPr>
          <w:rFonts w:hint="eastAsia" w:ascii="宋体" w:hAnsi="宋体"/>
          <w:color w:val="000000"/>
          <w:szCs w:val="21"/>
        </w:rPr>
        <w:t>年</w:t>
      </w:r>
      <w:r>
        <w:rPr>
          <w:rFonts w:hint="eastAsia" w:ascii="宋体" w:hAnsi="宋体"/>
          <w:color w:val="000000"/>
          <w:szCs w:val="21"/>
          <w:lang w:val="en-US" w:eastAsia="zh-CN"/>
        </w:rPr>
        <w:t>11</w:t>
      </w:r>
      <w:r>
        <w:rPr>
          <w:rFonts w:hint="eastAsia" w:ascii="宋体" w:hAnsi="宋体"/>
          <w:color w:val="000000"/>
          <w:szCs w:val="21"/>
        </w:rPr>
        <w:t>月</w:t>
      </w:r>
      <w:r>
        <w:rPr>
          <w:rFonts w:hint="eastAsia" w:ascii="宋体" w:hAnsi="宋体"/>
          <w:color w:val="000000"/>
          <w:szCs w:val="21"/>
          <w:lang w:val="en-US" w:eastAsia="zh-CN"/>
        </w:rPr>
        <w:t xml:space="preserve"> 30 </w:t>
      </w:r>
      <w:r>
        <w:rPr>
          <w:rFonts w:hint="eastAsia" w:ascii="宋体" w:hAnsi="宋体"/>
          <w:color w:val="000000"/>
          <w:szCs w:val="21"/>
        </w:rPr>
        <w:t>日</w:t>
      </w:r>
      <w:r>
        <w:rPr>
          <w:rFonts w:hint="eastAsia" w:ascii="宋体" w:hAnsi="宋体"/>
          <w:color w:val="000000"/>
          <w:szCs w:val="21"/>
          <w:lang w:val="en-US" w:eastAsia="zh-CN"/>
        </w:rPr>
        <w:t>9</w:t>
      </w:r>
      <w:r>
        <w:rPr>
          <w:rFonts w:hint="eastAsia" w:ascii="宋体" w:hAnsi="宋体"/>
          <w:color w:val="000000"/>
          <w:szCs w:val="21"/>
        </w:rPr>
        <w:t>时</w:t>
      </w:r>
      <w:r>
        <w:rPr>
          <w:rFonts w:hint="eastAsia" w:ascii="宋体" w:hAnsi="宋体"/>
          <w:color w:val="000000"/>
          <w:szCs w:val="21"/>
          <w:lang w:val="en-US" w:eastAsia="zh-CN"/>
        </w:rPr>
        <w:t>30</w:t>
      </w:r>
      <w:r>
        <w:rPr>
          <w:rFonts w:ascii="宋体" w:hAnsi="宋体"/>
          <w:color w:val="000000"/>
          <w:szCs w:val="21"/>
        </w:rPr>
        <w:t>分</w:t>
      </w:r>
      <w:bookmarkEnd w:id="3"/>
    </w:p>
    <w:p>
      <w:pPr>
        <w:spacing w:line="440" w:lineRule="exact"/>
        <w:ind w:firstLine="1050" w:firstLineChars="500"/>
        <w:rPr>
          <w:rFonts w:ascii="宋体" w:hAnsi="宋体"/>
          <w:color w:val="000000"/>
          <w:szCs w:val="21"/>
        </w:rPr>
      </w:pPr>
      <w:r>
        <w:rPr>
          <w:rFonts w:hint="eastAsia" w:ascii="宋体" w:hAnsi="宋体"/>
          <w:color w:val="000000"/>
          <w:szCs w:val="21"/>
        </w:rPr>
        <w:t>逾期送达将作无效响应处理</w:t>
      </w:r>
    </w:p>
    <w:p>
      <w:pPr>
        <w:spacing w:line="440" w:lineRule="exact"/>
        <w:ind w:firstLine="420" w:firstLineChars="200"/>
        <w:rPr>
          <w:rFonts w:hint="eastAsia" w:ascii="宋体" w:hAnsi="宋体" w:eastAsia="宋体"/>
          <w:szCs w:val="21"/>
          <w:lang w:eastAsia="zh-CN"/>
        </w:rPr>
      </w:pPr>
      <w:r>
        <w:rPr>
          <w:rFonts w:hint="eastAsia" w:ascii="宋体" w:hAnsi="宋体"/>
          <w:color w:val="000000"/>
          <w:szCs w:val="21"/>
        </w:rPr>
        <w:t>（三）响应文件接收地点：</w:t>
      </w:r>
      <w:r>
        <w:rPr>
          <w:rFonts w:hint="eastAsia" w:ascii="宋体" w:hAnsi="宋体"/>
          <w:color w:val="000000"/>
          <w:szCs w:val="21"/>
          <w:lang w:eastAsia="zh-CN"/>
        </w:rPr>
        <w:t>扬州筑苑工程招标咨询有限公司</w:t>
      </w:r>
      <w:r>
        <w:rPr>
          <w:rFonts w:hint="eastAsia" w:ascii="宋体" w:hAnsi="宋体"/>
          <w:color w:val="000000"/>
          <w:szCs w:val="21"/>
          <w:lang w:val="en-US" w:eastAsia="zh-CN"/>
        </w:rPr>
        <w:t>4楼开标室</w:t>
      </w:r>
      <w:r>
        <w:rPr>
          <w:rFonts w:hint="eastAsia" w:ascii="宋体" w:hAnsi="宋体"/>
          <w:color w:val="000000"/>
          <w:szCs w:val="21"/>
          <w:lang w:eastAsia="zh-CN"/>
        </w:rPr>
        <w:t>（</w:t>
      </w:r>
      <w:r>
        <w:rPr>
          <w:rFonts w:hint="eastAsia" w:ascii="宋体" w:hAnsi="宋体"/>
          <w:szCs w:val="21"/>
          <w:lang w:eastAsia="zh-CN"/>
        </w:rPr>
        <w:t>扬州市瘦西湖路65号</w:t>
      </w:r>
      <w:r>
        <w:rPr>
          <w:rFonts w:hint="eastAsia" w:ascii="宋体" w:hAnsi="宋体"/>
          <w:color w:val="000000"/>
          <w:szCs w:val="21"/>
          <w:lang w:eastAsia="zh-CN"/>
        </w:rPr>
        <w:t>）</w:t>
      </w:r>
    </w:p>
    <w:p>
      <w:pPr>
        <w:spacing w:line="440" w:lineRule="exact"/>
        <w:ind w:firstLine="420" w:firstLineChars="200"/>
        <w:rPr>
          <w:rFonts w:hint="eastAsia" w:ascii="宋体" w:hAnsi="宋体" w:eastAsia="宋体"/>
          <w:color w:val="000000"/>
          <w:szCs w:val="21"/>
          <w:lang w:eastAsia="zh-CN"/>
        </w:rPr>
      </w:pPr>
      <w:r>
        <w:rPr>
          <w:rFonts w:hint="eastAsia" w:ascii="宋体" w:hAnsi="宋体"/>
          <w:color w:val="000000"/>
          <w:szCs w:val="21"/>
        </w:rPr>
        <w:t>（四）磋商响应文件接收人：</w:t>
      </w:r>
      <w:r>
        <w:rPr>
          <w:rFonts w:hint="eastAsia" w:ascii="宋体" w:hAnsi="宋体"/>
          <w:color w:val="000000"/>
          <w:szCs w:val="21"/>
          <w:lang w:eastAsia="zh-CN"/>
        </w:rPr>
        <w:t>薛梦宇</w:t>
      </w:r>
    </w:p>
    <w:p>
      <w:pPr>
        <w:spacing w:line="440" w:lineRule="exact"/>
        <w:ind w:firstLine="413" w:firstLineChars="196"/>
        <w:rPr>
          <w:rFonts w:ascii="宋体" w:hAnsi="宋体"/>
          <w:b/>
          <w:bCs/>
          <w:color w:val="000000"/>
          <w:szCs w:val="21"/>
        </w:rPr>
      </w:pPr>
      <w:r>
        <w:rPr>
          <w:rFonts w:hint="eastAsia" w:ascii="宋体" w:hAnsi="宋体"/>
          <w:b/>
          <w:bCs/>
          <w:color w:val="000000"/>
          <w:szCs w:val="21"/>
        </w:rPr>
        <w:t>六、磋商响应文件开启信息</w:t>
      </w:r>
    </w:p>
    <w:p>
      <w:pPr>
        <w:spacing w:line="440" w:lineRule="exact"/>
        <w:ind w:firstLine="420" w:firstLineChars="200"/>
        <w:rPr>
          <w:rFonts w:ascii="宋体" w:hAnsi="宋体"/>
          <w:szCs w:val="21"/>
        </w:rPr>
      </w:pPr>
      <w:r>
        <w:rPr>
          <w:rFonts w:hint="eastAsia" w:ascii="宋体" w:hAnsi="宋体"/>
          <w:szCs w:val="21"/>
        </w:rPr>
        <w:t>（一）响应文件开启时间：</w:t>
      </w:r>
      <w:bookmarkStart w:id="4" w:name="XMTBJSR_2"/>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w:t>
      </w:r>
      <w:r>
        <w:rPr>
          <w:rFonts w:hint="eastAsia" w:ascii="宋体" w:hAnsi="宋体"/>
          <w:szCs w:val="21"/>
          <w:lang w:val="en-US" w:eastAsia="zh-CN"/>
        </w:rPr>
        <w:t>9</w:t>
      </w:r>
      <w:r>
        <w:rPr>
          <w:rFonts w:hint="eastAsia" w:ascii="宋体" w:hAnsi="宋体"/>
          <w:szCs w:val="21"/>
        </w:rPr>
        <w:t>时</w:t>
      </w:r>
      <w:r>
        <w:rPr>
          <w:rFonts w:hint="eastAsia" w:ascii="宋体" w:hAnsi="宋体"/>
          <w:szCs w:val="21"/>
          <w:lang w:val="en-US" w:eastAsia="zh-CN"/>
        </w:rPr>
        <w:t>30</w:t>
      </w:r>
      <w:r>
        <w:rPr>
          <w:rFonts w:ascii="宋体" w:hAnsi="宋体"/>
          <w:szCs w:val="21"/>
        </w:rPr>
        <w:t>分</w:t>
      </w:r>
      <w:bookmarkEnd w:id="4"/>
    </w:p>
    <w:p>
      <w:pPr>
        <w:spacing w:line="440" w:lineRule="exact"/>
        <w:ind w:firstLine="420" w:firstLineChars="200"/>
        <w:rPr>
          <w:rFonts w:hint="eastAsia" w:ascii="宋体" w:hAnsi="宋体" w:eastAsia="宋体"/>
          <w:color w:val="000000"/>
          <w:szCs w:val="21"/>
          <w:lang w:eastAsia="zh-CN"/>
        </w:rPr>
      </w:pPr>
      <w:r>
        <w:rPr>
          <w:rFonts w:hint="eastAsia" w:ascii="宋体" w:hAnsi="宋体"/>
          <w:color w:val="000000"/>
          <w:szCs w:val="21"/>
        </w:rPr>
        <w:t>（二）响应文件开启地点：</w:t>
      </w:r>
      <w:r>
        <w:rPr>
          <w:rFonts w:hint="eastAsia" w:ascii="宋体" w:hAnsi="宋体"/>
          <w:color w:val="000000"/>
          <w:szCs w:val="21"/>
          <w:lang w:eastAsia="zh-CN"/>
        </w:rPr>
        <w:t>扬州筑苑工程招标咨询有限公司</w:t>
      </w:r>
      <w:r>
        <w:rPr>
          <w:rFonts w:hint="eastAsia" w:ascii="宋体" w:hAnsi="宋体"/>
          <w:color w:val="000000"/>
          <w:szCs w:val="21"/>
          <w:lang w:val="en-US" w:eastAsia="zh-CN"/>
        </w:rPr>
        <w:t>4楼开标室</w:t>
      </w:r>
      <w:r>
        <w:rPr>
          <w:rFonts w:hint="eastAsia" w:ascii="宋体" w:hAnsi="宋体"/>
          <w:color w:val="000000"/>
          <w:szCs w:val="21"/>
          <w:lang w:eastAsia="zh-CN"/>
        </w:rPr>
        <w:t>（</w:t>
      </w:r>
      <w:r>
        <w:rPr>
          <w:rFonts w:hint="eastAsia" w:ascii="宋体" w:hAnsi="宋体"/>
          <w:szCs w:val="21"/>
          <w:lang w:eastAsia="zh-CN"/>
        </w:rPr>
        <w:t>扬州市瘦西湖路65号</w:t>
      </w:r>
      <w:r>
        <w:rPr>
          <w:rFonts w:hint="eastAsia" w:ascii="宋体" w:hAnsi="宋体"/>
          <w:color w:val="000000"/>
          <w:szCs w:val="21"/>
          <w:lang w:eastAsia="zh-CN"/>
        </w:rPr>
        <w:t>）</w:t>
      </w:r>
    </w:p>
    <w:p>
      <w:pPr>
        <w:spacing w:line="440" w:lineRule="exact"/>
        <w:ind w:firstLine="525" w:firstLineChars="250"/>
        <w:rPr>
          <w:rFonts w:hint="eastAsia" w:ascii="宋体" w:hAnsi="宋体" w:eastAsia="宋体"/>
          <w:color w:val="000000"/>
          <w:szCs w:val="21"/>
          <w:lang w:eastAsia="zh-CN"/>
        </w:rPr>
      </w:pPr>
      <w:r>
        <w:rPr>
          <w:rFonts w:hint="eastAsia" w:ascii="宋体" w:hAnsi="宋体"/>
          <w:color w:val="000000"/>
          <w:szCs w:val="21"/>
        </w:rPr>
        <w:t>磋商地点：</w:t>
      </w:r>
      <w:r>
        <w:rPr>
          <w:rFonts w:hint="eastAsia" w:ascii="宋体" w:hAnsi="宋体"/>
          <w:color w:val="000000"/>
          <w:szCs w:val="21"/>
          <w:lang w:eastAsia="zh-CN"/>
        </w:rPr>
        <w:t>扬州筑苑工程招标咨询有限公司</w:t>
      </w:r>
      <w:r>
        <w:rPr>
          <w:rFonts w:hint="eastAsia" w:ascii="宋体" w:hAnsi="宋体"/>
          <w:color w:val="000000"/>
          <w:szCs w:val="21"/>
          <w:lang w:val="en-US" w:eastAsia="zh-CN"/>
        </w:rPr>
        <w:t>4楼开标室</w:t>
      </w:r>
      <w:r>
        <w:rPr>
          <w:rFonts w:hint="eastAsia" w:ascii="宋体" w:hAnsi="宋体"/>
          <w:color w:val="000000"/>
          <w:szCs w:val="21"/>
          <w:lang w:eastAsia="zh-CN"/>
        </w:rPr>
        <w:t>（</w:t>
      </w:r>
      <w:r>
        <w:rPr>
          <w:rFonts w:hint="eastAsia" w:ascii="宋体" w:hAnsi="宋体"/>
          <w:szCs w:val="21"/>
          <w:lang w:eastAsia="zh-CN"/>
        </w:rPr>
        <w:t>扬州市瘦西湖路65号</w:t>
      </w:r>
      <w:r>
        <w:rPr>
          <w:rFonts w:hint="eastAsia" w:ascii="宋体" w:hAnsi="宋体"/>
          <w:color w:val="000000"/>
          <w:szCs w:val="21"/>
          <w:lang w:eastAsia="zh-CN"/>
        </w:rPr>
        <w:t>）</w:t>
      </w:r>
    </w:p>
    <w:p>
      <w:pPr>
        <w:spacing w:line="440" w:lineRule="exact"/>
        <w:ind w:firstLine="422" w:firstLineChars="200"/>
        <w:rPr>
          <w:rFonts w:ascii="宋体" w:hAnsi="宋体"/>
          <w:b/>
          <w:bCs/>
          <w:color w:val="000000"/>
          <w:szCs w:val="21"/>
        </w:rPr>
      </w:pPr>
      <w:r>
        <w:rPr>
          <w:rFonts w:hint="eastAsia" w:ascii="宋体" w:hAnsi="宋体"/>
          <w:b/>
          <w:bCs/>
          <w:color w:val="000000"/>
          <w:szCs w:val="21"/>
        </w:rPr>
        <w:t>七、本次磋商采购联系事项</w:t>
      </w:r>
    </w:p>
    <w:p>
      <w:pPr>
        <w:spacing w:line="440" w:lineRule="exact"/>
        <w:ind w:firstLine="420" w:firstLineChars="200"/>
        <w:rPr>
          <w:rFonts w:hint="eastAsia" w:ascii="宋体" w:hAnsi="宋体" w:cs="宋体"/>
        </w:rPr>
      </w:pPr>
      <w:r>
        <w:rPr>
          <w:rFonts w:hint="eastAsia" w:ascii="宋体" w:hAnsi="宋体"/>
          <w:szCs w:val="21"/>
        </w:rPr>
        <w:t>(一)</w:t>
      </w:r>
      <w:r>
        <w:rPr>
          <w:rFonts w:hint="eastAsia" w:ascii="宋体" w:hAnsi="宋体" w:cs="宋体"/>
        </w:rPr>
        <w:t>采购代理机构信息</w:t>
      </w:r>
    </w:p>
    <w:p>
      <w:pPr>
        <w:spacing w:line="440" w:lineRule="exact"/>
        <w:ind w:firstLine="420" w:firstLineChars="200"/>
        <w:rPr>
          <w:rFonts w:hint="eastAsia" w:ascii="宋体" w:hAnsi="宋体" w:eastAsia="宋体"/>
          <w:szCs w:val="21"/>
          <w:lang w:eastAsia="zh-CN"/>
        </w:rPr>
      </w:pPr>
      <w:r>
        <w:rPr>
          <w:rFonts w:hint="eastAsia" w:ascii="宋体" w:hAnsi="宋体"/>
          <w:szCs w:val="21"/>
          <w:lang w:eastAsia="zh-CN"/>
        </w:rPr>
        <w:t>扬州筑苑工程招标咨询有限公司</w:t>
      </w:r>
    </w:p>
    <w:p>
      <w:pPr>
        <w:spacing w:line="440" w:lineRule="exact"/>
        <w:ind w:firstLine="420" w:firstLineChars="200"/>
        <w:rPr>
          <w:rFonts w:ascii="宋体" w:hAnsi="宋体"/>
          <w:color w:val="000000"/>
          <w:szCs w:val="21"/>
        </w:rPr>
      </w:pPr>
      <w:r>
        <w:rPr>
          <w:rFonts w:hint="eastAsia" w:ascii="宋体" w:hAnsi="宋体"/>
          <w:color w:val="000000"/>
          <w:szCs w:val="21"/>
        </w:rPr>
        <w:t>联系人：</w:t>
      </w:r>
      <w:r>
        <w:rPr>
          <w:rFonts w:hint="eastAsia" w:ascii="宋体" w:hAnsi="宋体"/>
          <w:color w:val="000000"/>
          <w:szCs w:val="21"/>
          <w:lang w:eastAsia="zh-CN"/>
        </w:rPr>
        <w:t>薛梦宇</w:t>
      </w:r>
      <w:r>
        <w:rPr>
          <w:rFonts w:hint="eastAsia" w:ascii="宋体" w:hAnsi="宋体"/>
          <w:color w:val="000000"/>
          <w:szCs w:val="21"/>
        </w:rPr>
        <w:t xml:space="preserve"> </w:t>
      </w:r>
    </w:p>
    <w:p>
      <w:pPr>
        <w:spacing w:line="440" w:lineRule="exact"/>
        <w:ind w:firstLine="420" w:firstLineChars="200"/>
        <w:rPr>
          <w:rFonts w:ascii="宋体" w:hAnsi="宋体"/>
          <w:color w:val="000000"/>
          <w:szCs w:val="21"/>
        </w:rPr>
      </w:pPr>
      <w:r>
        <w:rPr>
          <w:rFonts w:hint="eastAsia" w:ascii="宋体" w:hAnsi="宋体"/>
          <w:szCs w:val="21"/>
        </w:rPr>
        <w:t>电话</w:t>
      </w:r>
      <w:r>
        <w:rPr>
          <w:rFonts w:hint="eastAsia" w:ascii="宋体" w:hAnsi="宋体"/>
          <w:color w:val="000000"/>
          <w:szCs w:val="21"/>
        </w:rPr>
        <w:t>：</w:t>
      </w:r>
      <w:r>
        <w:rPr>
          <w:rFonts w:hint="eastAsia" w:ascii="宋体" w:hAnsi="宋体"/>
          <w:color w:val="000000"/>
          <w:szCs w:val="21"/>
          <w:lang w:eastAsia="zh-CN"/>
        </w:rPr>
        <w:t>0514-87116778</w:t>
      </w:r>
      <w:r>
        <w:rPr>
          <w:rFonts w:hint="eastAsia" w:ascii="宋体" w:hAnsi="宋体"/>
          <w:color w:val="000000"/>
          <w:szCs w:val="21"/>
        </w:rPr>
        <w:t xml:space="preserve">   </w:t>
      </w:r>
    </w:p>
    <w:p>
      <w:pPr>
        <w:spacing w:line="440" w:lineRule="exact"/>
        <w:ind w:firstLine="420" w:firstLineChars="200"/>
        <w:rPr>
          <w:rFonts w:hint="eastAsia" w:ascii="宋体" w:hAnsi="宋体" w:eastAsia="宋体"/>
          <w:szCs w:val="21"/>
          <w:lang w:eastAsia="zh-CN"/>
        </w:rPr>
      </w:pPr>
      <w:r>
        <w:rPr>
          <w:rFonts w:hint="eastAsia" w:ascii="宋体" w:hAnsi="宋体"/>
          <w:szCs w:val="21"/>
        </w:rPr>
        <w:t>地址：</w:t>
      </w:r>
      <w:r>
        <w:rPr>
          <w:rFonts w:hint="eastAsia" w:ascii="宋体" w:hAnsi="宋体"/>
          <w:szCs w:val="21"/>
          <w:lang w:eastAsia="zh-CN"/>
        </w:rPr>
        <w:t>扬州市瘦西湖路65号</w:t>
      </w:r>
    </w:p>
    <w:p>
      <w:pPr>
        <w:spacing w:line="440" w:lineRule="exact"/>
        <w:ind w:firstLine="420" w:firstLineChars="200"/>
        <w:rPr>
          <w:rFonts w:hint="eastAsia" w:ascii="宋体" w:hAnsi="宋体"/>
          <w:szCs w:val="21"/>
        </w:rPr>
      </w:pPr>
      <w:r>
        <w:rPr>
          <w:rFonts w:hint="eastAsia" w:ascii="宋体" w:hAnsi="宋体"/>
          <w:szCs w:val="21"/>
        </w:rPr>
        <w:t>(二) 采购人: 扬州高等职业技术学校</w:t>
      </w:r>
    </w:p>
    <w:p>
      <w:pPr>
        <w:spacing w:line="440" w:lineRule="exact"/>
        <w:ind w:firstLine="420" w:firstLineChars="200"/>
        <w:rPr>
          <w:rFonts w:ascii="宋体" w:hAnsi="宋体"/>
          <w:szCs w:val="21"/>
        </w:rPr>
      </w:pPr>
      <w:r>
        <w:rPr>
          <w:rFonts w:hint="eastAsia" w:ascii="宋体" w:hAnsi="宋体"/>
          <w:szCs w:val="21"/>
        </w:rPr>
        <w:t>联系人: 孙老师</w:t>
      </w:r>
    </w:p>
    <w:p>
      <w:pPr>
        <w:spacing w:line="440" w:lineRule="exact"/>
        <w:ind w:firstLine="420" w:firstLineChars="200"/>
        <w:rPr>
          <w:rFonts w:ascii="宋体" w:hAnsi="宋体"/>
          <w:szCs w:val="21"/>
        </w:rPr>
      </w:pPr>
      <w:r>
        <w:rPr>
          <w:rFonts w:hint="eastAsia" w:ascii="宋体" w:hAnsi="宋体"/>
          <w:szCs w:val="21"/>
        </w:rPr>
        <w:t>联系电话：0514-85829119</w:t>
      </w:r>
    </w:p>
    <w:p>
      <w:pPr>
        <w:spacing w:line="360" w:lineRule="auto"/>
        <w:ind w:firstLine="420" w:firstLineChars="200"/>
        <w:rPr>
          <w:rFonts w:ascii="宋体" w:hAnsi="宋体"/>
          <w:color w:val="000000"/>
          <w:szCs w:val="21"/>
        </w:rPr>
      </w:pPr>
      <w:r>
        <w:rPr>
          <w:rFonts w:hint="eastAsia" w:ascii="宋体" w:hAnsi="宋体"/>
          <w:color w:val="000000"/>
          <w:szCs w:val="21"/>
        </w:rPr>
        <w:t>地址：扬州市万福西路</w:t>
      </w:r>
      <w:r>
        <w:rPr>
          <w:rFonts w:hint="eastAsia" w:ascii="宋体" w:hAnsi="宋体"/>
          <w:color w:val="000000"/>
          <w:szCs w:val="21"/>
          <w:lang w:val="en-US" w:eastAsia="zh-CN"/>
        </w:rPr>
        <w:t>106</w:t>
      </w:r>
      <w:bookmarkStart w:id="136" w:name="_GoBack"/>
      <w:bookmarkEnd w:id="136"/>
      <w:r>
        <w:rPr>
          <w:rFonts w:ascii="宋体" w:hAnsi="宋体"/>
          <w:color w:val="000000"/>
          <w:szCs w:val="21"/>
        </w:rPr>
        <w:t>号</w:t>
      </w:r>
    </w:p>
    <w:p>
      <w:pPr>
        <w:spacing w:line="440" w:lineRule="exact"/>
        <w:ind w:firstLine="422" w:firstLineChars="200"/>
        <w:rPr>
          <w:rFonts w:ascii="黑体" w:hAnsi="黑体" w:eastAsia="黑体"/>
          <w:b/>
          <w:szCs w:val="21"/>
        </w:rPr>
      </w:pPr>
      <w:r>
        <w:rPr>
          <w:rFonts w:hint="eastAsia" w:ascii="黑体" w:hAnsi="黑体" w:eastAsia="黑体"/>
          <w:b/>
          <w:szCs w:val="21"/>
        </w:rPr>
        <w:t>对项目需求部分的询问、质疑请向采购人提出，询问、质疑由采购人负责答复。</w:t>
      </w:r>
    </w:p>
    <w:p>
      <w:pPr>
        <w:spacing w:line="440" w:lineRule="exact"/>
        <w:ind w:firstLine="422" w:firstLineChars="200"/>
        <w:rPr>
          <w:rFonts w:ascii="黑体" w:hAnsi="黑体" w:eastAsia="黑体"/>
          <w:b/>
          <w:szCs w:val="21"/>
        </w:rPr>
      </w:pPr>
      <w:r>
        <w:rPr>
          <w:rFonts w:hint="eastAsia" w:ascii="宋体" w:hAnsi="宋体"/>
          <w:b/>
          <w:bCs/>
          <w:color w:val="000000"/>
          <w:szCs w:val="21"/>
        </w:rPr>
        <w:t>八、本次磋商响应文件制作份数要求</w:t>
      </w:r>
    </w:p>
    <w:p>
      <w:pPr>
        <w:spacing w:line="440" w:lineRule="exact"/>
        <w:ind w:firstLine="420" w:firstLineChars="200"/>
        <w:rPr>
          <w:rFonts w:ascii="宋体" w:hAnsi="宋体"/>
          <w:color w:val="000000"/>
          <w:szCs w:val="21"/>
        </w:rPr>
      </w:pPr>
      <w:r>
        <w:rPr>
          <w:rFonts w:hint="eastAsia" w:ascii="宋体" w:hAnsi="宋体"/>
          <w:szCs w:val="21"/>
        </w:rPr>
        <w:t>一份正本，</w:t>
      </w:r>
      <w:r>
        <w:rPr>
          <w:rFonts w:hint="eastAsia" w:ascii="宋体" w:hAnsi="宋体"/>
          <w:szCs w:val="21"/>
          <w:lang w:eastAsia="zh-CN"/>
        </w:rPr>
        <w:t>二</w:t>
      </w:r>
      <w:r>
        <w:rPr>
          <w:rFonts w:hint="eastAsia" w:ascii="宋体" w:hAnsi="宋体"/>
          <w:szCs w:val="21"/>
        </w:rPr>
        <w:t>份副本,每份响应文件须清楚标明“正本”或“副本”</w:t>
      </w:r>
    </w:p>
    <w:p>
      <w:pPr>
        <w:spacing w:line="440" w:lineRule="exact"/>
        <w:ind w:firstLine="422" w:firstLineChars="200"/>
        <w:rPr>
          <w:rFonts w:ascii="宋体" w:hAnsi="宋体"/>
          <w:b/>
          <w:bCs/>
          <w:color w:val="000000"/>
          <w:szCs w:val="21"/>
        </w:rPr>
      </w:pPr>
      <w:r>
        <w:rPr>
          <w:rFonts w:hint="eastAsia" w:ascii="宋体" w:hAnsi="宋体"/>
          <w:b/>
          <w:bCs/>
          <w:color w:val="000000"/>
          <w:szCs w:val="21"/>
        </w:rPr>
        <w:t>九、本次磋商保证金要求：</w:t>
      </w:r>
    </w:p>
    <w:p>
      <w:pPr>
        <w:tabs>
          <w:tab w:val="left" w:pos="900"/>
        </w:tabs>
        <w:spacing w:line="440" w:lineRule="exact"/>
        <w:ind w:firstLine="417" w:firstLineChars="199"/>
        <w:rPr>
          <w:rFonts w:ascii="宋体" w:hAnsi="宋体" w:cs="Arial"/>
          <w:color w:val="000000"/>
          <w:szCs w:val="21"/>
        </w:rPr>
      </w:pPr>
      <w:r>
        <w:rPr>
          <w:rFonts w:hint="eastAsia" w:ascii="宋体" w:hAnsi="宋体" w:cs="Arial"/>
          <w:color w:val="000000"/>
          <w:szCs w:val="21"/>
        </w:rPr>
        <w:t>本次磋商</w:t>
      </w:r>
      <w:r>
        <w:rPr>
          <w:rFonts w:hint="eastAsia" w:ascii="宋体" w:hAnsi="宋体" w:cs="Arial"/>
          <w:color w:val="000000"/>
          <w:szCs w:val="21"/>
          <w:lang w:eastAsia="zh-CN"/>
        </w:rPr>
        <w:t>不收取磋商</w:t>
      </w:r>
      <w:r>
        <w:rPr>
          <w:rFonts w:hint="eastAsia" w:ascii="宋体" w:hAnsi="宋体" w:cs="Arial"/>
          <w:color w:val="000000"/>
          <w:szCs w:val="21"/>
        </w:rPr>
        <w:t>保证金。</w:t>
      </w:r>
    </w:p>
    <w:p>
      <w:pPr>
        <w:tabs>
          <w:tab w:val="left" w:pos="900"/>
        </w:tabs>
        <w:spacing w:line="440" w:lineRule="exact"/>
        <w:ind w:firstLine="420" w:firstLineChars="199"/>
        <w:rPr>
          <w:rFonts w:ascii="宋体" w:hAnsi="宋体"/>
          <w:b/>
          <w:bCs/>
          <w:color w:val="000000"/>
          <w:szCs w:val="21"/>
        </w:rPr>
      </w:pPr>
      <w:r>
        <w:rPr>
          <w:rFonts w:hint="eastAsia" w:ascii="宋体" w:hAnsi="宋体"/>
          <w:b/>
          <w:szCs w:val="21"/>
        </w:rPr>
        <w:t>十、</w:t>
      </w:r>
      <w:r>
        <w:rPr>
          <w:rFonts w:hint="eastAsia" w:ascii="宋体" w:hAnsi="宋体"/>
          <w:b/>
          <w:bCs/>
          <w:color w:val="000000"/>
          <w:szCs w:val="21"/>
        </w:rPr>
        <w:t>其他说明事项：</w:t>
      </w:r>
    </w:p>
    <w:p>
      <w:pPr>
        <w:spacing w:line="440" w:lineRule="exact"/>
        <w:ind w:left="1" w:firstLine="315" w:firstLineChars="150"/>
        <w:rPr>
          <w:rFonts w:ascii="宋体" w:hAnsi="宋体"/>
          <w:color w:val="000000"/>
          <w:szCs w:val="21"/>
        </w:rPr>
      </w:pPr>
      <w:r>
        <w:rPr>
          <w:rFonts w:hint="eastAsia" w:ascii="宋体" w:hAnsi="宋体"/>
          <w:color w:val="000000"/>
          <w:szCs w:val="21"/>
        </w:rPr>
        <w:t>（一）</w:t>
      </w:r>
      <w:r>
        <w:rPr>
          <w:rFonts w:hint="eastAsia" w:ascii="宋体" w:hAnsi="宋体"/>
          <w:i/>
          <w:color w:val="000000"/>
          <w:szCs w:val="21"/>
          <w:u w:val="single"/>
        </w:rPr>
        <w:t>本磋商文件中斜体下划线部分为实质性响应条件，为必须遵守的条件，如不满足将作无效响应文件处理。</w:t>
      </w:r>
    </w:p>
    <w:p>
      <w:pPr>
        <w:rPr>
          <w:rFonts w:ascii="宋体" w:hAnsi="宋体"/>
          <w:color w:val="auto"/>
          <w:sz w:val="36"/>
          <w:highlight w:val="none"/>
        </w:rPr>
      </w:pPr>
    </w:p>
    <w:p>
      <w:pPr>
        <w:pStyle w:val="2"/>
        <w:rPr>
          <w:rFonts w:ascii="宋体" w:hAnsi="宋体"/>
          <w:color w:val="auto"/>
          <w:sz w:val="36"/>
          <w:highlight w:val="none"/>
        </w:rPr>
      </w:pPr>
    </w:p>
    <w:p>
      <w:pPr>
        <w:pStyle w:val="2"/>
        <w:rPr>
          <w:rFonts w:ascii="宋体" w:hAnsi="宋体"/>
          <w:color w:val="auto"/>
          <w:sz w:val="36"/>
          <w:highlight w:val="none"/>
        </w:rPr>
      </w:pPr>
    </w:p>
    <w:p>
      <w:pPr>
        <w:pStyle w:val="2"/>
        <w:rPr>
          <w:rFonts w:ascii="宋体" w:hAnsi="宋体"/>
          <w:color w:val="auto"/>
          <w:sz w:val="36"/>
          <w:highlight w:val="none"/>
        </w:rPr>
      </w:pPr>
    </w:p>
    <w:p>
      <w:pPr>
        <w:pStyle w:val="2"/>
        <w:rPr>
          <w:rFonts w:ascii="宋体" w:hAnsi="宋体"/>
          <w:color w:val="auto"/>
          <w:sz w:val="36"/>
          <w:highlight w:val="none"/>
        </w:rPr>
      </w:pPr>
    </w:p>
    <w:p>
      <w:pPr>
        <w:pStyle w:val="2"/>
        <w:rPr>
          <w:rFonts w:ascii="宋体" w:hAnsi="宋体"/>
          <w:color w:val="auto"/>
          <w:sz w:val="36"/>
          <w:highlight w:val="none"/>
        </w:rPr>
      </w:pPr>
    </w:p>
    <w:p>
      <w:pPr>
        <w:pStyle w:val="2"/>
        <w:rPr>
          <w:rFonts w:ascii="宋体" w:hAnsi="宋体"/>
          <w:color w:val="auto"/>
          <w:sz w:val="36"/>
          <w:highlight w:val="none"/>
        </w:rPr>
      </w:pPr>
    </w:p>
    <w:p>
      <w:pPr>
        <w:pStyle w:val="2"/>
        <w:rPr>
          <w:rFonts w:ascii="宋体" w:hAnsi="宋体"/>
          <w:color w:val="auto"/>
          <w:sz w:val="36"/>
          <w:highlight w:val="none"/>
        </w:rPr>
      </w:pPr>
    </w:p>
    <w:p>
      <w:pPr>
        <w:pStyle w:val="2"/>
        <w:rPr>
          <w:rFonts w:ascii="宋体" w:hAnsi="宋体"/>
          <w:color w:val="auto"/>
          <w:sz w:val="36"/>
          <w:highlight w:val="none"/>
        </w:rPr>
      </w:pPr>
    </w:p>
    <w:p>
      <w:pPr>
        <w:pStyle w:val="2"/>
        <w:rPr>
          <w:rFonts w:ascii="宋体" w:hAnsi="宋体"/>
          <w:color w:val="auto"/>
          <w:sz w:val="36"/>
          <w:highlight w:val="none"/>
        </w:rPr>
      </w:pPr>
    </w:p>
    <w:p>
      <w:pPr>
        <w:pStyle w:val="2"/>
        <w:rPr>
          <w:rFonts w:ascii="宋体" w:hAnsi="宋体"/>
          <w:color w:val="auto"/>
          <w:sz w:val="36"/>
          <w:highlight w:val="none"/>
        </w:rPr>
      </w:pPr>
    </w:p>
    <w:p>
      <w:pPr>
        <w:pStyle w:val="2"/>
        <w:ind w:left="0" w:leftChars="0" w:firstLine="0" w:firstLineChars="0"/>
        <w:rPr>
          <w:rFonts w:ascii="宋体" w:hAnsi="宋体"/>
          <w:color w:val="auto"/>
          <w:sz w:val="36"/>
          <w:highlight w:val="none"/>
        </w:rPr>
      </w:pPr>
    </w:p>
    <w:p>
      <w:pPr>
        <w:pStyle w:val="3"/>
        <w:spacing w:line="240" w:lineRule="auto"/>
        <w:jc w:val="center"/>
        <w:rPr>
          <w:color w:val="auto"/>
          <w:highlight w:val="none"/>
        </w:rPr>
      </w:pPr>
      <w:bookmarkStart w:id="5" w:name="_Toc29215469"/>
      <w:r>
        <w:rPr>
          <w:rFonts w:hint="eastAsia"/>
          <w:color w:val="auto"/>
          <w:highlight w:val="none"/>
        </w:rPr>
        <w:t>第二章磋商须知</w:t>
      </w:r>
      <w:bookmarkEnd w:id="1"/>
      <w:bookmarkEnd w:id="5"/>
    </w:p>
    <w:p>
      <w:pPr>
        <w:adjustRightInd w:val="0"/>
        <w:spacing w:after="156" w:afterLines="50" w:line="360" w:lineRule="auto"/>
        <w:jc w:val="center"/>
        <w:rPr>
          <w:rFonts w:ascii="宋体" w:cs="宋体"/>
          <w:b/>
          <w:bCs/>
          <w:color w:val="auto"/>
          <w:szCs w:val="21"/>
          <w:highlight w:val="none"/>
        </w:rPr>
      </w:pPr>
      <w:bookmarkStart w:id="6" w:name="_Toc513029204"/>
      <w:bookmarkStart w:id="7" w:name="_Toc458694821"/>
      <w:bookmarkStart w:id="8" w:name="_Toc16938520"/>
      <w:bookmarkStart w:id="9" w:name="_Toc20823276"/>
      <w:r>
        <w:rPr>
          <w:rFonts w:hint="eastAsia" w:ascii="宋体" w:hAnsi="宋体" w:cs="宋体"/>
          <w:bCs/>
          <w:color w:val="auto"/>
          <w:szCs w:val="21"/>
          <w:highlight w:val="none"/>
        </w:rPr>
        <w:t>（参加竞争性磋商的供应商以下简称“磋商供应商”）</w:t>
      </w:r>
      <w:bookmarkEnd w:id="6"/>
      <w:bookmarkEnd w:id="7"/>
      <w:bookmarkEnd w:id="8"/>
      <w:bookmarkEnd w:id="9"/>
    </w:p>
    <w:p>
      <w:pPr>
        <w:tabs>
          <w:tab w:val="left" w:pos="900"/>
        </w:tabs>
        <w:adjustRightInd w:val="0"/>
        <w:spacing w:after="156" w:afterLines="50"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一、总则</w:t>
      </w:r>
    </w:p>
    <w:p>
      <w:pPr>
        <w:tabs>
          <w:tab w:val="left" w:pos="900"/>
        </w:tabs>
        <w:adjustRightInd w:val="0"/>
        <w:spacing w:after="156" w:afterLines="50"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、适用范围</w:t>
      </w:r>
    </w:p>
    <w:p>
      <w:pPr>
        <w:tabs>
          <w:tab w:val="left" w:pos="900"/>
        </w:tabs>
        <w:adjustRightInd w:val="0"/>
        <w:spacing w:after="156" w:afterLines="50"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1.1 </w:t>
      </w:r>
      <w:r>
        <w:rPr>
          <w:rFonts w:hint="eastAsia" w:ascii="宋体" w:hAnsi="宋体" w:cs="宋体"/>
          <w:color w:val="auto"/>
          <w:szCs w:val="21"/>
          <w:highlight w:val="none"/>
        </w:rPr>
        <w:t>本竞争性磋商文件（以下简称磋商文件）仅适用此项目。</w:t>
      </w:r>
    </w:p>
    <w:p>
      <w:pPr>
        <w:tabs>
          <w:tab w:val="left" w:pos="900"/>
        </w:tabs>
        <w:adjustRightInd w:val="0"/>
        <w:spacing w:after="156" w:afterLines="50"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1.2 </w:t>
      </w:r>
      <w:r>
        <w:rPr>
          <w:rFonts w:hint="eastAsia" w:ascii="宋体" w:hAnsi="宋体" w:cs="宋体"/>
          <w:color w:val="auto"/>
          <w:szCs w:val="21"/>
          <w:highlight w:val="none"/>
        </w:rPr>
        <w:t>本项目按照项目分包，分别确定各分包成交供应商。</w:t>
      </w:r>
    </w:p>
    <w:p>
      <w:pPr>
        <w:tabs>
          <w:tab w:val="left" w:pos="900"/>
        </w:tabs>
        <w:adjustRightInd w:val="0"/>
        <w:spacing w:after="156" w:afterLines="50"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、项目采购方式</w:t>
      </w:r>
    </w:p>
    <w:p>
      <w:pPr>
        <w:tabs>
          <w:tab w:val="left" w:pos="900"/>
        </w:tabs>
        <w:adjustRightInd w:val="0"/>
        <w:spacing w:after="156" w:afterLines="50" w:line="360" w:lineRule="auto"/>
        <w:ind w:firstLine="420" w:firstLineChars="200"/>
        <w:rPr>
          <w:rFonts w:ascii="宋体" w:cs="宋体"/>
          <w:color w:val="auto"/>
          <w:szCs w:val="21"/>
          <w:highlight w:val="none"/>
        </w:rPr>
      </w:pPr>
      <w:r>
        <w:rPr>
          <w:rFonts w:hint="eastAsia" w:ascii="宋体" w:hAnsi="宋体" w:cs="宋体"/>
          <w:color w:val="auto"/>
          <w:szCs w:val="21"/>
          <w:highlight w:val="none"/>
        </w:rPr>
        <w:t>本次采购采取竞争性磋商的方式。</w:t>
      </w:r>
    </w:p>
    <w:p>
      <w:pPr>
        <w:tabs>
          <w:tab w:val="left" w:pos="900"/>
        </w:tabs>
        <w:adjustRightInd w:val="0"/>
        <w:spacing w:after="156" w:afterLines="50" w:line="360" w:lineRule="auto"/>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、合格的磋商供应商</w:t>
      </w:r>
    </w:p>
    <w:p>
      <w:pPr>
        <w:tabs>
          <w:tab w:val="left" w:pos="900"/>
        </w:tabs>
        <w:adjustRightInd w:val="0"/>
        <w:spacing w:after="156" w:afterLines="50" w:line="360" w:lineRule="auto"/>
        <w:ind w:firstLine="420" w:firstLineChars="200"/>
        <w:rPr>
          <w:rFonts w:ascii="宋体" w:cs="宋体"/>
          <w:color w:val="auto"/>
          <w:szCs w:val="21"/>
          <w:highlight w:val="none"/>
        </w:rPr>
      </w:pPr>
      <w:r>
        <w:rPr>
          <w:rFonts w:ascii="宋体" w:hAnsi="宋体" w:cs="宋体"/>
          <w:color w:val="auto"/>
          <w:szCs w:val="21"/>
          <w:highlight w:val="none"/>
        </w:rPr>
        <w:t>3.1</w:t>
      </w:r>
      <w:r>
        <w:rPr>
          <w:rFonts w:hint="eastAsia" w:ascii="宋体" w:hAnsi="宋体" w:cs="宋体"/>
          <w:color w:val="auto"/>
          <w:szCs w:val="21"/>
          <w:highlight w:val="none"/>
        </w:rPr>
        <w:t>满足本磋商文件“竞争性磋商采购邀请”中合格磋商供应商资格要求的规定。</w:t>
      </w:r>
    </w:p>
    <w:p>
      <w:pPr>
        <w:tabs>
          <w:tab w:val="left" w:pos="900"/>
        </w:tabs>
        <w:adjustRightInd w:val="0"/>
        <w:spacing w:after="156" w:afterLines="50"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3.2 </w:t>
      </w:r>
      <w:r>
        <w:rPr>
          <w:rFonts w:hint="eastAsia" w:ascii="宋体" w:hAnsi="宋体" w:cs="宋体"/>
          <w:color w:val="auto"/>
          <w:szCs w:val="21"/>
          <w:highlight w:val="none"/>
        </w:rPr>
        <w:t>满足本磋商文件实质性要求和条件的规定。</w:t>
      </w:r>
    </w:p>
    <w:p>
      <w:pPr>
        <w:tabs>
          <w:tab w:val="left" w:pos="900"/>
        </w:tabs>
        <w:adjustRightInd w:val="0"/>
        <w:spacing w:after="156" w:afterLines="50" w:line="360" w:lineRule="auto"/>
        <w:ind w:firstLine="420" w:firstLineChars="20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、参加磋商费用</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4.1</w:t>
      </w:r>
      <w:r>
        <w:rPr>
          <w:rFonts w:hint="eastAsia" w:ascii="宋体" w:hAnsi="宋体"/>
          <w:color w:val="auto"/>
          <w:szCs w:val="21"/>
          <w:highlight w:val="none"/>
        </w:rPr>
        <w:t xml:space="preserve"> 供应商应自行承担所有与参加磋商有关的费用，无论磋商过程中的做法和结果如何，代理机构在任何情况下均无义务和责任承担这些费用。</w:t>
      </w:r>
    </w:p>
    <w:p>
      <w:pPr>
        <w:pStyle w:val="2"/>
        <w:spacing w:after="0" w:line="440" w:lineRule="exact"/>
        <w:rPr>
          <w:color w:val="auto"/>
          <w:highlight w:val="none"/>
        </w:rPr>
      </w:pPr>
      <w:bookmarkStart w:id="10" w:name="_Hlt26668969"/>
      <w:bookmarkEnd w:id="10"/>
      <w:bookmarkStart w:id="11" w:name="_Hlt26670348"/>
      <w:bookmarkEnd w:id="11"/>
      <w:bookmarkStart w:id="12" w:name="_Hlt26670345"/>
      <w:bookmarkEnd w:id="12"/>
      <w:bookmarkStart w:id="13" w:name="_Hlt26954828"/>
      <w:bookmarkEnd w:id="13"/>
      <w:bookmarkStart w:id="14" w:name="_Hlt26954832"/>
      <w:bookmarkEnd w:id="14"/>
      <w:bookmarkStart w:id="15" w:name="_Hlt26670354"/>
      <w:bookmarkEnd w:id="15"/>
      <w:bookmarkStart w:id="16" w:name="_Hlt26954830"/>
      <w:bookmarkEnd w:id="16"/>
      <w:bookmarkStart w:id="17" w:name="_Toc462564072"/>
      <w:bookmarkStart w:id="18" w:name="_Toc14577351"/>
      <w:bookmarkStart w:id="19" w:name="_Toc61149553"/>
      <w:bookmarkStart w:id="20" w:name="_Toc513029213"/>
      <w:r>
        <w:rPr>
          <w:rFonts w:hint="eastAsia" w:ascii="宋体" w:hAnsi="宋体"/>
          <w:color w:val="auto"/>
          <w:szCs w:val="21"/>
          <w:highlight w:val="none"/>
        </w:rPr>
        <w:t>4.2本次竞争性磋商文件售价300元，递交响应文件时缴纳，售后不退。</w:t>
      </w:r>
    </w:p>
    <w:p>
      <w:pPr>
        <w:spacing w:line="440" w:lineRule="exact"/>
        <w:ind w:right="366" w:firstLine="420" w:firstLineChars="200"/>
        <w:jc w:val="left"/>
        <w:rPr>
          <w:rFonts w:hint="eastAsia" w:ascii="宋体" w:hAnsi="宋体"/>
          <w:color w:val="auto"/>
          <w:szCs w:val="21"/>
          <w:highlight w:val="none"/>
        </w:rPr>
      </w:pPr>
      <w:r>
        <w:rPr>
          <w:rFonts w:hint="eastAsia" w:ascii="宋体" w:hAnsi="宋体" w:cs="宋体"/>
          <w:color w:val="auto"/>
          <w:szCs w:val="21"/>
          <w:highlight w:val="none"/>
        </w:rPr>
        <w:t>4.3</w:t>
      </w:r>
      <w:r>
        <w:rPr>
          <w:rFonts w:hint="eastAsia" w:ascii="宋体" w:hAnsi="宋体" w:cs="宋体"/>
          <w:b/>
          <w:bCs/>
          <w:color w:val="auto"/>
          <w:szCs w:val="21"/>
          <w:highlight w:val="none"/>
        </w:rPr>
        <w:t xml:space="preserve"> </w:t>
      </w:r>
      <w:r>
        <w:rPr>
          <w:rFonts w:hint="eastAsia" w:ascii="宋体" w:hAnsi="宋体"/>
          <w:color w:val="auto"/>
          <w:szCs w:val="21"/>
          <w:highlight w:val="none"/>
          <w:lang w:eastAsia="zh-CN"/>
        </w:rPr>
        <w:t>成交</w:t>
      </w:r>
      <w:r>
        <w:rPr>
          <w:rFonts w:hint="eastAsia" w:ascii="宋体" w:hAnsi="宋体"/>
          <w:color w:val="auto"/>
          <w:szCs w:val="21"/>
          <w:highlight w:val="none"/>
        </w:rPr>
        <w:t>服务费</w:t>
      </w:r>
    </w:p>
    <w:p>
      <w:pPr>
        <w:tabs>
          <w:tab w:val="left" w:pos="900"/>
        </w:tabs>
        <w:spacing w:line="348" w:lineRule="auto"/>
        <w:ind w:left="420" w:leftChars="200" w:firstLine="0" w:firstLineChars="0"/>
        <w:rPr>
          <w:rFonts w:hint="eastAsia" w:ascii="宋体" w:hAnsi="宋体" w:cs="Times New Roman"/>
          <w:color w:val="auto"/>
          <w:szCs w:val="21"/>
          <w:highlight w:val="none"/>
        </w:rPr>
      </w:pPr>
      <w:r>
        <w:rPr>
          <w:rFonts w:hint="eastAsia" w:ascii="宋体" w:hAnsi="宋体"/>
          <w:color w:val="auto"/>
          <w:szCs w:val="21"/>
          <w:highlight w:val="none"/>
        </w:rPr>
        <w:t>本次采购由</w:t>
      </w:r>
      <w:r>
        <w:rPr>
          <w:rFonts w:hint="eastAsia" w:ascii="宋体" w:hAnsi="宋体"/>
          <w:b/>
          <w:color w:val="auto"/>
          <w:szCs w:val="21"/>
          <w:highlight w:val="none"/>
          <w:u w:val="single"/>
          <w:lang w:eastAsia="zh-CN"/>
        </w:rPr>
        <w:t>成交供应商</w:t>
      </w:r>
      <w:r>
        <w:rPr>
          <w:rFonts w:hint="eastAsia" w:ascii="宋体" w:hAnsi="宋体"/>
          <w:color w:val="auto"/>
          <w:szCs w:val="21"/>
          <w:highlight w:val="none"/>
        </w:rPr>
        <w:t>在领取成交通知书前根</w:t>
      </w:r>
      <w:r>
        <w:rPr>
          <w:rFonts w:hint="eastAsia" w:ascii="宋体" w:hAnsi="宋体" w:cs="Times New Roman"/>
          <w:color w:val="auto"/>
          <w:szCs w:val="21"/>
          <w:highlight w:val="none"/>
        </w:rPr>
        <w:t>据发改价格【2011】534号文件标准</w:t>
      </w:r>
      <w:r>
        <w:rPr>
          <w:rFonts w:hint="eastAsia" w:ascii="宋体" w:hAnsi="宋体" w:cs="Times New Roman"/>
          <w:color w:val="auto"/>
          <w:szCs w:val="21"/>
          <w:highlight w:val="none"/>
          <w:lang w:eastAsia="zh-CN"/>
        </w:rPr>
        <w:t>的五折</w:t>
      </w:r>
      <w:r>
        <w:rPr>
          <w:rFonts w:hint="eastAsia" w:ascii="宋体" w:hAnsi="宋体" w:cs="Times New Roman"/>
          <w:color w:val="auto"/>
          <w:szCs w:val="21"/>
          <w:highlight w:val="none"/>
        </w:rPr>
        <w:t>一次性支付给招标代理机构代理服务费。</w:t>
      </w:r>
    </w:p>
    <w:p>
      <w:pPr>
        <w:spacing w:line="348" w:lineRule="auto"/>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olor w:val="auto"/>
          <w:szCs w:val="21"/>
          <w:highlight w:val="none"/>
          <w:lang w:eastAsia="zh-CN"/>
        </w:rPr>
        <w:t>成交服务费</w:t>
      </w:r>
      <w:r>
        <w:rPr>
          <w:rFonts w:hint="eastAsia" w:ascii="宋体" w:hAnsi="宋体" w:cs="宋体"/>
          <w:color w:val="auto"/>
          <w:szCs w:val="21"/>
          <w:highlight w:val="none"/>
        </w:rPr>
        <w:t>以人民币支付；</w:t>
      </w:r>
    </w:p>
    <w:p>
      <w:pPr>
        <w:spacing w:line="34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olor w:val="auto"/>
          <w:szCs w:val="21"/>
          <w:highlight w:val="none"/>
          <w:lang w:eastAsia="zh-CN"/>
        </w:rPr>
        <w:t>成交服务费</w:t>
      </w:r>
      <w:r>
        <w:rPr>
          <w:rFonts w:hint="eastAsia" w:ascii="宋体" w:hAnsi="宋体" w:cs="宋体"/>
          <w:color w:val="auto"/>
          <w:szCs w:val="21"/>
          <w:highlight w:val="none"/>
        </w:rPr>
        <w:t>支付方式：一次性以电汇、转账等非现金形式支付；</w:t>
      </w:r>
    </w:p>
    <w:p>
      <w:pPr>
        <w:spacing w:line="34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olor w:val="auto"/>
          <w:szCs w:val="21"/>
          <w:highlight w:val="none"/>
          <w:lang w:eastAsia="zh-CN"/>
        </w:rPr>
        <w:t>成交服务费</w:t>
      </w:r>
      <w:r>
        <w:rPr>
          <w:rFonts w:hint="eastAsia" w:ascii="宋体" w:hAnsi="宋体" w:cs="宋体"/>
          <w:color w:val="auto"/>
          <w:szCs w:val="21"/>
          <w:highlight w:val="none"/>
        </w:rPr>
        <w:t>不在响应报价中单列，包含在响应总价中，由</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lang w:eastAsia="zh-CN"/>
        </w:rPr>
        <w:t>单位</w:t>
      </w:r>
      <w:r>
        <w:rPr>
          <w:rFonts w:hint="eastAsia" w:ascii="宋体" w:hAnsi="宋体" w:eastAsia="宋体" w:cs="宋体"/>
          <w:color w:val="auto"/>
          <w:szCs w:val="21"/>
          <w:highlight w:val="none"/>
        </w:rPr>
        <w:t>支付给</w:t>
      </w:r>
      <w:r>
        <w:rPr>
          <w:rFonts w:hint="eastAsia" w:ascii="宋体" w:hAnsi="宋体" w:cs="宋体"/>
          <w:color w:val="auto"/>
          <w:szCs w:val="21"/>
          <w:highlight w:val="none"/>
        </w:rPr>
        <w:t>代理机构。</w:t>
      </w:r>
    </w:p>
    <w:p>
      <w:pPr>
        <w:spacing w:line="336" w:lineRule="auto"/>
        <w:ind w:firstLine="420" w:firstLineChars="200"/>
        <w:rPr>
          <w:rFonts w:hint="eastAsia" w:ascii="宋体" w:hAnsi="宋体" w:eastAsia="宋体" w:cs="宋体"/>
          <w:b w:val="0"/>
          <w:bCs w:val="0"/>
          <w:i w:val="0"/>
          <w:caps w:val="0"/>
          <w:color w:val="auto"/>
          <w:spacing w:val="0"/>
          <w:sz w:val="21"/>
          <w:szCs w:val="21"/>
          <w:highlight w:val="none"/>
          <w:shd w:val="clear" w:color="auto" w:fill="FFFFFF"/>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eastAsia="宋体" w:cs="宋体"/>
          <w:b w:val="0"/>
          <w:bCs w:val="0"/>
          <w:i w:val="0"/>
          <w:caps w:val="0"/>
          <w:color w:val="auto"/>
          <w:spacing w:val="0"/>
          <w:sz w:val="21"/>
          <w:szCs w:val="21"/>
          <w:highlight w:val="none"/>
          <w:shd w:val="clear" w:color="auto" w:fill="FFFFFF"/>
        </w:rPr>
        <w:t>代理服务费缴纳账户信息：</w:t>
      </w:r>
    </w:p>
    <w:p>
      <w:pPr>
        <w:spacing w:line="336" w:lineRule="auto"/>
        <w:ind w:firstLine="934" w:firstLineChars="445"/>
        <w:rPr>
          <w:rFonts w:hint="eastAsia" w:ascii="宋体" w:hAnsi="宋体" w:eastAsia="宋体" w:cs="宋体"/>
          <w:b w:val="0"/>
          <w:bCs w:val="0"/>
          <w:i w:val="0"/>
          <w:caps w:val="0"/>
          <w:color w:val="auto"/>
          <w:spacing w:val="0"/>
          <w:sz w:val="21"/>
          <w:szCs w:val="21"/>
          <w:highlight w:val="none"/>
          <w:shd w:val="clear" w:color="auto" w:fill="FFFFFF"/>
          <w:lang w:eastAsia="zh-CN"/>
        </w:rPr>
      </w:pPr>
      <w:r>
        <w:rPr>
          <w:rFonts w:hint="eastAsia" w:ascii="宋体" w:hAnsi="宋体" w:eastAsia="宋体" w:cs="宋体"/>
          <w:b w:val="0"/>
          <w:bCs w:val="0"/>
          <w:i w:val="0"/>
          <w:caps w:val="0"/>
          <w:color w:val="auto"/>
          <w:spacing w:val="0"/>
          <w:sz w:val="21"/>
          <w:szCs w:val="21"/>
          <w:highlight w:val="none"/>
          <w:shd w:val="clear" w:color="auto" w:fill="FFFFFF"/>
        </w:rPr>
        <w:t>户  名：</w:t>
      </w:r>
      <w:r>
        <w:rPr>
          <w:rFonts w:hint="eastAsia" w:ascii="宋体" w:hAnsi="宋体" w:eastAsia="宋体" w:cs="宋体"/>
          <w:b w:val="0"/>
          <w:bCs w:val="0"/>
          <w:i w:val="0"/>
          <w:caps w:val="0"/>
          <w:color w:val="auto"/>
          <w:spacing w:val="0"/>
          <w:sz w:val="21"/>
          <w:szCs w:val="21"/>
          <w:highlight w:val="none"/>
          <w:shd w:val="clear" w:color="auto" w:fill="FFFFFF"/>
          <w:lang w:eastAsia="zh-CN"/>
        </w:rPr>
        <w:t>扬州筑苑工程招标咨询有限公司</w:t>
      </w:r>
    </w:p>
    <w:p>
      <w:pPr>
        <w:spacing w:line="336" w:lineRule="auto"/>
        <w:ind w:firstLine="934" w:firstLineChars="445"/>
        <w:rPr>
          <w:rFonts w:hint="eastAsia" w:ascii="宋体" w:hAnsi="宋体" w:eastAsia="宋体" w:cs="宋体"/>
          <w:b w:val="0"/>
          <w:bCs w:val="0"/>
          <w:i w:val="0"/>
          <w:caps w:val="0"/>
          <w:color w:val="auto"/>
          <w:spacing w:val="0"/>
          <w:sz w:val="21"/>
          <w:szCs w:val="21"/>
          <w:highlight w:val="none"/>
          <w:shd w:val="clear" w:color="auto" w:fill="FFFFFF"/>
        </w:rPr>
      </w:pPr>
      <w:r>
        <w:rPr>
          <w:rFonts w:hint="eastAsia" w:ascii="宋体" w:hAnsi="宋体" w:eastAsia="宋体" w:cs="宋体"/>
          <w:b w:val="0"/>
          <w:bCs w:val="0"/>
          <w:i w:val="0"/>
          <w:caps w:val="0"/>
          <w:color w:val="auto"/>
          <w:spacing w:val="0"/>
          <w:sz w:val="21"/>
          <w:szCs w:val="21"/>
          <w:highlight w:val="none"/>
          <w:shd w:val="clear" w:color="auto" w:fill="FFFFFF"/>
        </w:rPr>
        <w:t>开户行</w:t>
      </w:r>
      <w:r>
        <w:rPr>
          <w:rFonts w:hint="eastAsia" w:ascii="宋体" w:hAnsi="宋体" w:eastAsia="宋体" w:cs="宋体"/>
          <w:b w:val="0"/>
          <w:bCs w:val="0"/>
          <w:i w:val="0"/>
          <w:caps w:val="0"/>
          <w:color w:val="auto"/>
          <w:spacing w:val="0"/>
          <w:sz w:val="21"/>
          <w:szCs w:val="21"/>
          <w:highlight w:val="none"/>
          <w:shd w:val="clear" w:color="auto" w:fill="FFFFFF"/>
          <w:lang w:eastAsia="zh-CN"/>
        </w:rPr>
        <w:t>：江苏银行</w:t>
      </w:r>
      <w:r>
        <w:rPr>
          <w:rFonts w:hint="eastAsia" w:ascii="宋体" w:hAnsi="宋体" w:cs="宋体"/>
          <w:b w:val="0"/>
          <w:bCs w:val="0"/>
          <w:i w:val="0"/>
          <w:caps w:val="0"/>
          <w:color w:val="auto"/>
          <w:spacing w:val="0"/>
          <w:sz w:val="21"/>
          <w:szCs w:val="21"/>
          <w:highlight w:val="none"/>
          <w:shd w:val="clear" w:color="auto" w:fill="FFFFFF"/>
          <w:lang w:eastAsia="zh-CN"/>
        </w:rPr>
        <w:t>扬州梅岭支行</w:t>
      </w:r>
    </w:p>
    <w:p>
      <w:pPr>
        <w:spacing w:line="336" w:lineRule="auto"/>
        <w:ind w:firstLine="934" w:firstLineChars="445"/>
        <w:rPr>
          <w:rFonts w:hint="default" w:ascii="宋体" w:hAnsi="宋体" w:eastAsia="宋体" w:cs="宋体"/>
          <w:b w:val="0"/>
          <w:bCs w:val="0"/>
          <w:i w:val="0"/>
          <w:caps w:val="0"/>
          <w:color w:val="auto"/>
          <w:spacing w:val="0"/>
          <w:sz w:val="21"/>
          <w:szCs w:val="21"/>
          <w:highlight w:val="none"/>
          <w:shd w:val="clear" w:color="auto" w:fill="FFFFFF"/>
          <w:lang w:val="en-US" w:eastAsia="zh-CN"/>
        </w:rPr>
      </w:pPr>
      <w:r>
        <w:rPr>
          <w:rFonts w:hint="eastAsia" w:ascii="宋体" w:hAnsi="宋体" w:eastAsia="宋体" w:cs="宋体"/>
          <w:b w:val="0"/>
          <w:bCs w:val="0"/>
          <w:i w:val="0"/>
          <w:caps w:val="0"/>
          <w:color w:val="auto"/>
          <w:spacing w:val="0"/>
          <w:sz w:val="21"/>
          <w:szCs w:val="21"/>
          <w:highlight w:val="none"/>
          <w:shd w:val="clear" w:color="auto" w:fill="FFFFFF"/>
        </w:rPr>
        <w:t>账  号：</w:t>
      </w:r>
      <w:r>
        <w:rPr>
          <w:rFonts w:hint="eastAsia" w:ascii="宋体" w:hAnsi="宋体" w:cs="宋体"/>
          <w:b w:val="0"/>
          <w:bCs w:val="0"/>
          <w:i w:val="0"/>
          <w:caps w:val="0"/>
          <w:color w:val="auto"/>
          <w:spacing w:val="0"/>
          <w:sz w:val="21"/>
          <w:szCs w:val="21"/>
          <w:highlight w:val="none"/>
          <w:shd w:val="clear" w:color="auto" w:fill="FFFFFF"/>
          <w:lang w:val="en-US" w:eastAsia="zh-CN"/>
        </w:rPr>
        <w:t>90080188000034881</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5、磋商文件的约束力</w:t>
      </w:r>
    </w:p>
    <w:p>
      <w:pPr>
        <w:tabs>
          <w:tab w:val="left" w:pos="900"/>
        </w:tabs>
        <w:spacing w:line="440" w:lineRule="exact"/>
        <w:ind w:left="120" w:leftChars="57" w:firstLine="420" w:firstLineChars="200"/>
        <w:rPr>
          <w:rFonts w:ascii="宋体" w:hAnsi="宋体"/>
          <w:color w:val="auto"/>
          <w:szCs w:val="21"/>
          <w:highlight w:val="none"/>
        </w:rPr>
      </w:pPr>
      <w:r>
        <w:rPr>
          <w:rFonts w:hint="eastAsia" w:ascii="宋体" w:hAnsi="宋体"/>
          <w:color w:val="auto"/>
          <w:szCs w:val="21"/>
          <w:highlight w:val="none"/>
        </w:rPr>
        <w:t>供应商一旦下载了本磋商文件并决定参加磋商，即被认为接受了本磋商文件的规定和约束，并且视为自竞争性磋商公告期限届满之日起已经知道或应当知道自身权益是否受到了损害。</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w:t>
      </w:r>
      <w:bookmarkStart w:id="21" w:name="_Toc16938527"/>
      <w:bookmarkStart w:id="22" w:name="_Toc462564070"/>
      <w:bookmarkStart w:id="23" w:name="_Toc513029211"/>
      <w:bookmarkStart w:id="24" w:name="_Toc20823283"/>
      <w:r>
        <w:rPr>
          <w:rFonts w:hint="eastAsia" w:ascii="宋体" w:hAnsi="宋体"/>
          <w:color w:val="auto"/>
          <w:szCs w:val="21"/>
          <w:highlight w:val="none"/>
        </w:rPr>
        <w:t>磋商文件的</w:t>
      </w:r>
      <w:bookmarkEnd w:id="21"/>
      <w:bookmarkEnd w:id="22"/>
      <w:bookmarkEnd w:id="23"/>
      <w:bookmarkEnd w:id="24"/>
      <w:r>
        <w:rPr>
          <w:rFonts w:hint="eastAsia" w:ascii="宋体" w:hAnsi="宋体"/>
          <w:color w:val="auto"/>
          <w:szCs w:val="21"/>
          <w:highlight w:val="none"/>
        </w:rPr>
        <w:t>询问及修改</w:t>
      </w:r>
    </w:p>
    <w:p>
      <w:pPr>
        <w:tabs>
          <w:tab w:val="left" w:pos="900"/>
        </w:tabs>
        <w:spacing w:line="440" w:lineRule="exact"/>
        <w:ind w:left="120" w:leftChars="57" w:firstLine="420" w:firstLineChars="200"/>
        <w:rPr>
          <w:rFonts w:ascii="宋体" w:hAnsi="宋体"/>
          <w:color w:val="auto"/>
          <w:szCs w:val="21"/>
          <w:highlight w:val="none"/>
        </w:rPr>
      </w:pPr>
      <w:r>
        <w:rPr>
          <w:rFonts w:hint="eastAsia" w:ascii="宋体" w:hAnsi="宋体"/>
          <w:color w:val="auto"/>
          <w:szCs w:val="21"/>
          <w:highlight w:val="none"/>
        </w:rPr>
        <w:t>6.1任何要求对磋商文件进行询问的供应商，均应在提交首次响应文件截止时间5日前按采购邀请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w:t>
      </w:r>
      <w:r>
        <w:rPr>
          <w:rFonts w:hint="eastAsia" w:ascii="宋体" w:hAnsi="宋体"/>
          <w:color w:val="auto"/>
          <w:szCs w:val="21"/>
          <w:highlight w:val="none"/>
          <w:lang w:eastAsia="zh-CN"/>
        </w:rPr>
        <w:t>扬州高等职业技术学校网站</w:t>
      </w:r>
      <w:r>
        <w:rPr>
          <w:rFonts w:hint="eastAsia" w:ascii="宋体" w:hAnsi="宋体"/>
          <w:color w:val="auto"/>
          <w:szCs w:val="21"/>
          <w:highlight w:val="none"/>
        </w:rPr>
        <w:t>上发布更正公告通知所有获取磋商文件的供应商。不足5日的，代理机构应当顺延提交首次响应文件截止时间。</w:t>
      </w:r>
    </w:p>
    <w:p>
      <w:pPr>
        <w:tabs>
          <w:tab w:val="left" w:pos="900"/>
        </w:tabs>
        <w:spacing w:line="440" w:lineRule="exact"/>
        <w:ind w:left="120" w:leftChars="57" w:firstLine="420" w:firstLineChars="200"/>
        <w:rPr>
          <w:rFonts w:ascii="宋体" w:hAnsi="宋体"/>
          <w:color w:val="auto"/>
          <w:szCs w:val="21"/>
          <w:highlight w:val="none"/>
        </w:rPr>
      </w:pPr>
      <w:r>
        <w:rPr>
          <w:rFonts w:hint="eastAsia" w:ascii="宋体" w:hAnsi="宋体"/>
          <w:color w:val="auto"/>
          <w:szCs w:val="21"/>
          <w:highlight w:val="none"/>
        </w:rPr>
        <w:t>6.2代理机构或采购人可以视采购项目的具体情况，组织供应商进行现场考察或召开磋商前答疑会，但不单独或分别组织只有一个供应商参加的现场考察和答疑会。</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7、磋商文件的解释</w:t>
      </w:r>
    </w:p>
    <w:p>
      <w:pPr>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7.1 本磋商文件由代理机构负责解释。</w:t>
      </w:r>
      <w:bookmarkEnd w:id="17"/>
      <w:bookmarkEnd w:id="18"/>
      <w:bookmarkEnd w:id="19"/>
      <w:bookmarkEnd w:id="20"/>
    </w:p>
    <w:p>
      <w:pPr>
        <w:tabs>
          <w:tab w:val="left" w:pos="900"/>
        </w:tabs>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 xml:space="preserve"> 二、磋商响应文件的编制及保证金收取</w:t>
      </w:r>
    </w:p>
    <w:p>
      <w:pPr>
        <w:tabs>
          <w:tab w:val="left" w:pos="900"/>
        </w:tabs>
        <w:spacing w:line="440" w:lineRule="exact"/>
        <w:ind w:firstLine="420" w:firstLineChars="200"/>
        <w:rPr>
          <w:rFonts w:ascii="宋体" w:hAnsi="宋体"/>
          <w:color w:val="auto"/>
          <w:szCs w:val="21"/>
          <w:highlight w:val="none"/>
        </w:rPr>
      </w:pPr>
      <w:bookmarkStart w:id="25" w:name="_Toc61149561"/>
      <w:bookmarkStart w:id="26" w:name="_Toc513029223"/>
      <w:bookmarkStart w:id="27" w:name="_Toc14577361"/>
      <w:r>
        <w:rPr>
          <w:rFonts w:hint="eastAsia" w:ascii="宋体" w:hAnsi="宋体"/>
          <w:color w:val="auto"/>
          <w:szCs w:val="21"/>
          <w:highlight w:val="none"/>
        </w:rPr>
        <w:t>1、磋商响应文件份数和签署</w:t>
      </w:r>
      <w:bookmarkEnd w:id="25"/>
      <w:bookmarkEnd w:id="26"/>
      <w:bookmarkEnd w:id="27"/>
    </w:p>
    <w:p>
      <w:pPr>
        <w:tabs>
          <w:tab w:val="left" w:pos="900"/>
        </w:tabs>
        <w:spacing w:line="440" w:lineRule="exact"/>
        <w:ind w:left="120" w:leftChars="57" w:firstLine="420" w:firstLineChars="200"/>
        <w:rPr>
          <w:rFonts w:ascii="宋体" w:hAnsi="宋体"/>
          <w:color w:val="auto"/>
          <w:szCs w:val="21"/>
          <w:highlight w:val="none"/>
        </w:rPr>
      </w:pPr>
      <w:r>
        <w:rPr>
          <w:rFonts w:hint="eastAsia" w:ascii="宋体" w:hAnsi="宋体"/>
          <w:color w:val="auto"/>
          <w:szCs w:val="21"/>
          <w:highlight w:val="none"/>
        </w:rPr>
        <w:t>1.1磋商供应商应严格按照采购邀请要求准备磋商响应文件（以下简称响应文件），每份响应文件须清楚地标明“正本”或“副本”字样。</w:t>
      </w:r>
    </w:p>
    <w:p>
      <w:pPr>
        <w:snapToGrid w:val="0"/>
        <w:spacing w:line="440" w:lineRule="exact"/>
        <w:ind w:firstLine="420" w:firstLineChars="200"/>
        <w:rPr>
          <w:rFonts w:ascii="仿宋" w:hAnsi="仿宋" w:eastAsia="仿宋"/>
          <w:color w:val="auto"/>
          <w:szCs w:val="21"/>
          <w:highlight w:val="none"/>
        </w:rPr>
      </w:pPr>
      <w:r>
        <w:rPr>
          <w:rFonts w:hint="eastAsia" w:ascii="宋体" w:hAnsi="宋体"/>
          <w:color w:val="auto"/>
          <w:szCs w:val="21"/>
          <w:highlight w:val="none"/>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pPr>
        <w:tabs>
          <w:tab w:val="left" w:pos="900"/>
        </w:tabs>
        <w:spacing w:line="440" w:lineRule="exact"/>
        <w:ind w:left="120" w:leftChars="57" w:firstLine="420" w:firstLineChars="200"/>
        <w:rPr>
          <w:rFonts w:ascii="宋体" w:hAnsi="宋体"/>
          <w:color w:val="auto"/>
          <w:szCs w:val="21"/>
          <w:highlight w:val="none"/>
        </w:rPr>
      </w:pPr>
      <w:r>
        <w:rPr>
          <w:rFonts w:hint="eastAsia" w:ascii="宋体" w:hAnsi="宋体"/>
          <w:color w:val="auto"/>
          <w:szCs w:val="21"/>
          <w:highlight w:val="none"/>
        </w:rPr>
        <w:t>1.2 除磋商供应商对错处做必要修改外，响应文件不得行间插字、涂改或增删。如有修改错漏处，必须由响应文件签署人签字或盖章。</w:t>
      </w:r>
    </w:p>
    <w:p>
      <w:pPr>
        <w:tabs>
          <w:tab w:val="left" w:pos="900"/>
        </w:tabs>
        <w:spacing w:line="440" w:lineRule="exact"/>
        <w:ind w:firstLine="525" w:firstLineChars="250"/>
        <w:rPr>
          <w:rFonts w:ascii="宋体" w:hAnsi="宋体"/>
          <w:color w:val="auto"/>
          <w:szCs w:val="21"/>
          <w:highlight w:val="none"/>
        </w:rPr>
      </w:pPr>
      <w:bookmarkStart w:id="28" w:name="_Hlt26954834"/>
      <w:bookmarkEnd w:id="28"/>
      <w:bookmarkStart w:id="29" w:name="_Toc513029215"/>
      <w:bookmarkStart w:id="30" w:name="_Toc61149555"/>
      <w:bookmarkStart w:id="31" w:name="_Toc14577353"/>
      <w:bookmarkStart w:id="32" w:name="_Toc462564074"/>
      <w:bookmarkStart w:id="33" w:name="_Toc61149554"/>
      <w:bookmarkStart w:id="34" w:name="_Toc14577352"/>
      <w:bookmarkStart w:id="35" w:name="_Toc462564073"/>
      <w:bookmarkStart w:id="36" w:name="_Toc513029214"/>
      <w:r>
        <w:rPr>
          <w:rFonts w:hint="eastAsia" w:ascii="宋体" w:hAnsi="宋体"/>
          <w:color w:val="auto"/>
          <w:szCs w:val="21"/>
          <w:highlight w:val="none"/>
        </w:rPr>
        <w:t>2、响应文件</w:t>
      </w:r>
      <w:bookmarkEnd w:id="29"/>
      <w:bookmarkEnd w:id="30"/>
      <w:bookmarkEnd w:id="31"/>
      <w:bookmarkEnd w:id="32"/>
      <w:r>
        <w:rPr>
          <w:rFonts w:hint="eastAsia" w:ascii="宋体" w:hAnsi="宋体"/>
          <w:color w:val="auto"/>
          <w:szCs w:val="21"/>
          <w:highlight w:val="none"/>
        </w:rPr>
        <w:t>编制要求</w:t>
      </w:r>
      <w:bookmarkEnd w:id="33"/>
      <w:bookmarkEnd w:id="34"/>
      <w:bookmarkEnd w:id="35"/>
      <w:bookmarkEnd w:id="36"/>
    </w:p>
    <w:p>
      <w:pPr>
        <w:tabs>
          <w:tab w:val="left" w:pos="900"/>
        </w:tabs>
        <w:spacing w:line="440" w:lineRule="exact"/>
        <w:ind w:left="120" w:leftChars="57" w:firstLine="420" w:firstLineChars="200"/>
        <w:rPr>
          <w:rFonts w:ascii="宋体" w:hAnsi="宋体"/>
          <w:color w:val="auto"/>
          <w:szCs w:val="21"/>
          <w:highlight w:val="none"/>
        </w:rPr>
      </w:pPr>
      <w:r>
        <w:rPr>
          <w:rFonts w:hint="eastAsia" w:ascii="宋体" w:hAnsi="宋体"/>
          <w:color w:val="auto"/>
          <w:szCs w:val="21"/>
          <w:highlight w:val="none"/>
        </w:rPr>
        <w:t>2.1磋商供应商提交的响应文件以及磋商供应商与代理机构及采购人就有关磋商的所有来往函电均应使用简体中文。磋商文件中既有中文也有外文的，以中文意义为准。</w:t>
      </w:r>
    </w:p>
    <w:p>
      <w:pPr>
        <w:tabs>
          <w:tab w:val="left" w:pos="900"/>
        </w:tabs>
        <w:spacing w:line="440" w:lineRule="exact"/>
        <w:ind w:left="120" w:leftChars="57" w:firstLine="420" w:firstLineChars="200"/>
        <w:rPr>
          <w:rFonts w:ascii="宋体" w:hAnsi="宋体"/>
          <w:color w:val="auto"/>
          <w:szCs w:val="21"/>
          <w:highlight w:val="none"/>
        </w:rPr>
      </w:pPr>
      <w:r>
        <w:rPr>
          <w:rFonts w:hint="eastAsia" w:ascii="宋体" w:hAnsi="宋体"/>
          <w:color w:val="auto"/>
          <w:szCs w:val="21"/>
          <w:highlight w:val="none"/>
        </w:rPr>
        <w:t>2.2 除技术性能另有规定外，响应文件所使用的度量衡单位，均须采用国家法定计量单位。</w:t>
      </w:r>
    </w:p>
    <w:p>
      <w:pPr>
        <w:tabs>
          <w:tab w:val="left" w:pos="900"/>
        </w:tabs>
        <w:spacing w:line="440" w:lineRule="exact"/>
        <w:ind w:firstLine="525" w:firstLineChars="250"/>
        <w:rPr>
          <w:rFonts w:ascii="宋体" w:hAnsi="宋体"/>
          <w:color w:val="auto"/>
          <w:szCs w:val="21"/>
          <w:highlight w:val="none"/>
        </w:rPr>
      </w:pPr>
      <w:bookmarkStart w:id="37" w:name="_Hlt26954836"/>
      <w:bookmarkEnd w:id="37"/>
      <w:bookmarkStart w:id="38" w:name="_Hlt26670357"/>
      <w:bookmarkEnd w:id="38"/>
      <w:bookmarkStart w:id="39" w:name="_Toc61149558"/>
      <w:bookmarkStart w:id="40" w:name="_Toc513029219"/>
      <w:bookmarkStart w:id="41" w:name="_Toc14577357"/>
      <w:bookmarkStart w:id="42" w:name="_Toc513029217"/>
      <w:bookmarkStart w:id="43" w:name="_Toc14577355"/>
      <w:bookmarkStart w:id="44" w:name="_Toc61149557"/>
      <w:r>
        <w:rPr>
          <w:rFonts w:hint="eastAsia" w:ascii="宋体" w:hAnsi="宋体"/>
          <w:color w:val="auto"/>
          <w:szCs w:val="21"/>
          <w:highlight w:val="none"/>
        </w:rPr>
        <w:t>3、参加磋商供应商资格的文件</w:t>
      </w:r>
      <w:bookmarkEnd w:id="39"/>
      <w:bookmarkEnd w:id="40"/>
      <w:bookmarkEnd w:id="41"/>
      <w:r>
        <w:rPr>
          <w:rFonts w:hint="eastAsia" w:ascii="宋体" w:hAnsi="宋体"/>
          <w:color w:val="auto"/>
          <w:szCs w:val="21"/>
          <w:highlight w:val="none"/>
        </w:rPr>
        <w:t>证明</w:t>
      </w:r>
    </w:p>
    <w:p>
      <w:pPr>
        <w:tabs>
          <w:tab w:val="left" w:pos="900"/>
        </w:tabs>
        <w:spacing w:line="440" w:lineRule="exact"/>
        <w:ind w:left="120" w:leftChars="57" w:firstLine="420" w:firstLineChars="200"/>
        <w:rPr>
          <w:rFonts w:ascii="宋体" w:hAnsi="宋体"/>
          <w:color w:val="auto"/>
          <w:szCs w:val="21"/>
          <w:highlight w:val="none"/>
        </w:rPr>
      </w:pPr>
      <w:bookmarkStart w:id="45" w:name="_Hlt26668999"/>
      <w:bookmarkEnd w:id="45"/>
      <w:r>
        <w:rPr>
          <w:rFonts w:hint="eastAsia" w:ascii="宋体" w:hAnsi="宋体"/>
          <w:color w:val="auto"/>
          <w:szCs w:val="21"/>
          <w:highlight w:val="none"/>
        </w:rPr>
        <w:t>3.1磋商供应商应提交证明其有资格参加磋商和成交后有能力独立履行合同的文件，并作为其响应文件的一部分。</w:t>
      </w:r>
    </w:p>
    <w:p>
      <w:pPr>
        <w:tabs>
          <w:tab w:val="left" w:pos="900"/>
        </w:tabs>
        <w:spacing w:line="440" w:lineRule="exact"/>
        <w:ind w:left="120" w:leftChars="57" w:firstLine="420" w:firstLineChars="200"/>
        <w:rPr>
          <w:rFonts w:ascii="宋体" w:hAnsi="宋体"/>
          <w:color w:val="auto"/>
          <w:szCs w:val="21"/>
          <w:highlight w:val="none"/>
        </w:rPr>
      </w:pPr>
      <w:r>
        <w:rPr>
          <w:rFonts w:hint="eastAsia" w:ascii="宋体" w:hAnsi="宋体"/>
          <w:color w:val="auto"/>
          <w:szCs w:val="21"/>
          <w:highlight w:val="none"/>
        </w:rPr>
        <w:t>3.2磋商供应商除必须具有履行合同所需提供的设备以及服务的能力外，还必须具备相应的财务、技术方面的能力。</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3.3磋商供应商应填写并提交磋商文件所附的“资格证明文件”。</w:t>
      </w:r>
    </w:p>
    <w:p>
      <w:pPr>
        <w:tabs>
          <w:tab w:val="left" w:pos="900"/>
        </w:tabs>
        <w:spacing w:line="440" w:lineRule="exact"/>
        <w:ind w:firstLine="525" w:firstLineChars="250"/>
        <w:rPr>
          <w:rFonts w:ascii="宋体" w:hAnsi="宋体"/>
          <w:color w:val="auto"/>
          <w:szCs w:val="21"/>
          <w:highlight w:val="none"/>
        </w:rPr>
      </w:pPr>
      <w:r>
        <w:rPr>
          <w:rFonts w:hint="eastAsia" w:ascii="宋体" w:hAnsi="宋体"/>
          <w:color w:val="auto"/>
          <w:szCs w:val="21"/>
          <w:highlight w:val="none"/>
        </w:rPr>
        <w:t>4、磋商响应报价</w:t>
      </w:r>
      <w:bookmarkEnd w:id="42"/>
      <w:bookmarkEnd w:id="43"/>
      <w:bookmarkStart w:id="46" w:name="_Hlt26670373"/>
      <w:bookmarkEnd w:id="46"/>
      <w:r>
        <w:rPr>
          <w:rFonts w:hint="eastAsia" w:ascii="宋体" w:hAnsi="宋体"/>
          <w:color w:val="auto"/>
          <w:szCs w:val="21"/>
          <w:highlight w:val="none"/>
        </w:rPr>
        <w:t>表</w:t>
      </w:r>
      <w:bookmarkEnd w:id="44"/>
    </w:p>
    <w:p>
      <w:pPr>
        <w:tabs>
          <w:tab w:val="left" w:pos="900"/>
        </w:tabs>
        <w:spacing w:line="440" w:lineRule="exact"/>
        <w:ind w:left="120" w:leftChars="57" w:firstLine="420" w:firstLineChars="200"/>
        <w:rPr>
          <w:rFonts w:ascii="宋体" w:hAnsi="宋体"/>
          <w:color w:val="auto"/>
          <w:szCs w:val="21"/>
          <w:highlight w:val="none"/>
        </w:rPr>
      </w:pPr>
      <w:r>
        <w:rPr>
          <w:rFonts w:hint="eastAsia" w:ascii="宋体" w:hAnsi="宋体"/>
          <w:color w:val="auto"/>
          <w:szCs w:val="21"/>
          <w:highlight w:val="none"/>
        </w:rPr>
        <w:t>4.1磋商供应商应按照磋商文件规定格式填报磋商响应报价表（含分项报价）。每项产品或服务只允许有一个报价，任何有选择的报价将不予接受，磋商文件中另有规定的按规定执行。</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4.2标的物</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详见项目需求。</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4.3有关费用处理</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本次采购磋商供应商的总报价应包括为完成本项目发生的所有费用，本磋商文件中另有规定的除外。</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4.4其它费用处理</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磋商文件未列明，而磋商供应商认为必须的费用也须列入报价。</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4.5报价采用的货币</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响应文件中的单价和总价，无特殊规定的采用人民币报价，以元为单位标注。磋商文件中另有规定的按规定执行。</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4.6 磋商响应报价表上的价格应按磋商文件规定填写。</w:t>
      </w:r>
    </w:p>
    <w:p>
      <w:pPr>
        <w:tabs>
          <w:tab w:val="left" w:pos="900"/>
        </w:tabs>
        <w:spacing w:line="440" w:lineRule="exact"/>
        <w:ind w:firstLine="420" w:firstLineChars="200"/>
        <w:rPr>
          <w:rFonts w:ascii="宋体" w:hAnsi="宋体"/>
          <w:color w:val="auto"/>
          <w:szCs w:val="21"/>
          <w:highlight w:val="none"/>
        </w:rPr>
      </w:pPr>
      <w:bookmarkStart w:id="47" w:name="_Hlt26670425"/>
      <w:bookmarkEnd w:id="47"/>
      <w:bookmarkStart w:id="48" w:name="_Hlt26954842"/>
      <w:bookmarkEnd w:id="48"/>
      <w:bookmarkStart w:id="49" w:name="_Hlt26670403"/>
      <w:bookmarkEnd w:id="49"/>
      <w:bookmarkStart w:id="50" w:name="_Hlt26670486"/>
      <w:bookmarkEnd w:id="50"/>
      <w:bookmarkStart w:id="51" w:name="_Hlt26954731"/>
      <w:bookmarkEnd w:id="51"/>
      <w:bookmarkStart w:id="52" w:name="_Hlt26670482"/>
      <w:bookmarkEnd w:id="52"/>
      <w:bookmarkStart w:id="53" w:name="_Hlt26954846"/>
      <w:bookmarkEnd w:id="53"/>
      <w:bookmarkStart w:id="54" w:name="_Hlt26954848"/>
      <w:bookmarkEnd w:id="54"/>
      <w:bookmarkStart w:id="55" w:name="_Hlt26668983"/>
      <w:bookmarkEnd w:id="55"/>
      <w:bookmarkStart w:id="56" w:name="_Hlt26954844"/>
      <w:bookmarkEnd w:id="56"/>
      <w:bookmarkStart w:id="57" w:name="_Toc14577359"/>
      <w:bookmarkStart w:id="58" w:name="_Toc61149559"/>
      <w:bookmarkStart w:id="59" w:name="_Toc513029221"/>
      <w:r>
        <w:rPr>
          <w:rFonts w:hint="eastAsia" w:ascii="宋体" w:hAnsi="宋体"/>
          <w:color w:val="auto"/>
          <w:szCs w:val="21"/>
          <w:highlight w:val="none"/>
        </w:rPr>
        <w:t>5、项目需求响应方案</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5.1提供为完成本项目的总体实施方案。</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5.2对磋商文件中项目需求的技术与商务条款要求逐项作出应答，并提供依据或说明。</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5.3磋商供应商认为需要的其他技术文件或说明。</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6、磋商保证金</w:t>
      </w:r>
      <w:bookmarkEnd w:id="57"/>
      <w:bookmarkEnd w:id="58"/>
      <w:bookmarkEnd w:id="59"/>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6.1磋商供应商在磋商开始前必须向代理机构足额提交磋商保证金，作为其磋商的一部分。磋商保证金是为了保护采购人免遭因磋商供应商的行为而蒙受的损失，采购人因磋商供应商的行为受到损害时，代理机构可根据相关规定处理。</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6.2参加磋商采购所需交纳的保证金必须是人民币，磋商保证金的交纳形式见采购邀请。</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6.3在磋商时，对在响应文件递交截止时间以前未按磋商文件要求提交磋商保证金的响应文件，代理机构将视其为无效响应文件而予以拒绝。</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6.4未成交供应商的磋商保证金，将在按代理机构规定的磋商有效期或在经磋商供应商同意延长的磋商有效期期满后五天内自行处理退还手续，不计利息。</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6.5成交候选供应商的磋商保证金，如转为履约保证金的，在履约结束后予以退还，不计利息。</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6.6下列任何情况发生时，磋商保证金不予退还：</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（1）磋商供应商在磋商响应有效期内无正当理由撤回其响应文件或者在磋商过程中无正当理由退出磋商活动（磋商供应商在提交最后报价之前退出磋商的除外）；</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（2）为谋取最终成交，磋商供应商在整个磋商过程中提供的相关文件被确认是虚假的、不真实的；</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（3）参加磋商的供应商之间被证实有串通、欺诈行为或者恶意进行竞争，影响采购人合法权益的；</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（4）整个采购活动中采取不正当手段诋毁、排挤其他供应商的；</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（5）与采购人、代理机构相关工作人员恶意串通的；</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（6）向采购人、代理机构相关工作人员行贿或者提供其他不正当利益的；</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（7）成交供应商在规定期限内未能根据规定签订合同。</w:t>
      </w:r>
    </w:p>
    <w:p>
      <w:pPr>
        <w:tabs>
          <w:tab w:val="left" w:pos="900"/>
        </w:tabs>
        <w:spacing w:line="440" w:lineRule="exact"/>
        <w:ind w:firstLine="422" w:firstLineChars="200"/>
        <w:rPr>
          <w:rFonts w:ascii="宋体" w:hAnsi="宋体"/>
          <w:b/>
          <w:color w:val="auto"/>
          <w:szCs w:val="21"/>
          <w:highlight w:val="none"/>
        </w:rPr>
      </w:pPr>
      <w:bookmarkStart w:id="60" w:name="_Hlt26954749"/>
      <w:bookmarkEnd w:id="60"/>
      <w:bookmarkStart w:id="61" w:name="_Hlt26670489"/>
      <w:bookmarkEnd w:id="61"/>
      <w:bookmarkStart w:id="62" w:name="_Hlt26670493"/>
      <w:bookmarkEnd w:id="62"/>
      <w:bookmarkStart w:id="63" w:name="_Hlt26954739"/>
      <w:bookmarkEnd w:id="63"/>
      <w:bookmarkStart w:id="64" w:name="_Hlt26954852"/>
      <w:bookmarkEnd w:id="64"/>
      <w:bookmarkStart w:id="65" w:name="_Hlt26954854"/>
      <w:bookmarkEnd w:id="65"/>
      <w:bookmarkStart w:id="66" w:name="_Hlt26954734"/>
      <w:bookmarkEnd w:id="66"/>
      <w:bookmarkStart w:id="67" w:name="_Hlt26954850"/>
      <w:bookmarkEnd w:id="67"/>
      <w:bookmarkStart w:id="68" w:name="_Toc513029224"/>
      <w:bookmarkStart w:id="69" w:name="_Toc14577362"/>
      <w:bookmarkStart w:id="70" w:name="_Toc61149562"/>
      <w:r>
        <w:rPr>
          <w:rFonts w:hint="eastAsia" w:ascii="宋体" w:hAnsi="宋体"/>
          <w:b/>
          <w:color w:val="auto"/>
          <w:szCs w:val="21"/>
          <w:highlight w:val="none"/>
        </w:rPr>
        <w:t>三、响应文件的递交</w:t>
      </w:r>
      <w:bookmarkEnd w:id="68"/>
      <w:bookmarkEnd w:id="69"/>
      <w:bookmarkEnd w:id="70"/>
    </w:p>
    <w:p>
      <w:pPr>
        <w:tabs>
          <w:tab w:val="left" w:pos="900"/>
        </w:tabs>
        <w:spacing w:line="440" w:lineRule="exact"/>
        <w:ind w:firstLine="420" w:firstLineChars="200"/>
        <w:rPr>
          <w:rFonts w:ascii="宋体" w:hAnsi="宋体"/>
          <w:color w:val="auto"/>
          <w:szCs w:val="21"/>
          <w:highlight w:val="none"/>
        </w:rPr>
      </w:pPr>
      <w:bookmarkStart w:id="71" w:name="_Hlt26954856"/>
      <w:bookmarkEnd w:id="71"/>
      <w:bookmarkStart w:id="72" w:name="_Toc513029225"/>
      <w:bookmarkStart w:id="73" w:name="_Toc61149563"/>
      <w:bookmarkStart w:id="74" w:name="_Toc462564084"/>
      <w:bookmarkStart w:id="75" w:name="_Toc14577363"/>
      <w:r>
        <w:rPr>
          <w:rFonts w:hint="eastAsia" w:ascii="宋体" w:hAnsi="宋体"/>
          <w:color w:val="auto"/>
          <w:szCs w:val="21"/>
          <w:highlight w:val="none"/>
        </w:rPr>
        <w:t>1、响应文件</w:t>
      </w:r>
      <w:bookmarkStart w:id="76" w:name="_Hlt26954743"/>
      <w:bookmarkEnd w:id="76"/>
      <w:r>
        <w:rPr>
          <w:rFonts w:hint="eastAsia" w:ascii="宋体" w:hAnsi="宋体"/>
          <w:color w:val="auto"/>
          <w:szCs w:val="21"/>
          <w:highlight w:val="none"/>
        </w:rPr>
        <w:t>的密封和标记</w:t>
      </w:r>
      <w:bookmarkEnd w:id="72"/>
      <w:bookmarkEnd w:id="73"/>
      <w:bookmarkEnd w:id="74"/>
      <w:bookmarkEnd w:id="75"/>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1.1磋商供应商应严格按照采购邀请要求的份数准备响应文件，每份响应文件须清楚地标明“正本”或“副本”字样。一旦正本和副本不符，以正本为准。磋商供应商应将响应文件正本和所有副本密封。</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1.2密封的响应文件应：</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（1）按采购邀请中注明的地址送达规定地点；</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（2）注明参加磋商项目名称、磋商文件编号及参加的分包号；</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（3）密封包装上应写明磋商供应商名称和地址。</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1.3如果密封包装未按要求密封和加写标记，代理机构对误投或过早启封概不负责。对由此造成提前开封的响应文件，代理机构将予以拒绝，作无效响应处理。</w:t>
      </w:r>
    </w:p>
    <w:p>
      <w:pPr>
        <w:tabs>
          <w:tab w:val="left" w:pos="900"/>
        </w:tabs>
        <w:spacing w:line="440" w:lineRule="exact"/>
        <w:ind w:firstLine="420" w:firstLineChars="200"/>
        <w:rPr>
          <w:rFonts w:ascii="宋体" w:hAnsi="宋体"/>
          <w:color w:val="auto"/>
          <w:szCs w:val="21"/>
          <w:highlight w:val="none"/>
        </w:rPr>
      </w:pPr>
      <w:bookmarkStart w:id="77" w:name="_Hlt26954858"/>
      <w:bookmarkEnd w:id="77"/>
      <w:bookmarkStart w:id="78" w:name="_Hlt26670496"/>
      <w:bookmarkEnd w:id="78"/>
      <w:bookmarkStart w:id="79" w:name="_Hlt26954752"/>
      <w:bookmarkEnd w:id="79"/>
      <w:bookmarkStart w:id="80" w:name="_Toc513029226"/>
      <w:bookmarkStart w:id="81" w:name="_Toc14577364"/>
      <w:bookmarkStart w:id="82" w:name="_Toc61149564"/>
      <w:r>
        <w:rPr>
          <w:rFonts w:hint="eastAsia" w:ascii="宋体" w:hAnsi="宋体"/>
          <w:color w:val="auto"/>
          <w:szCs w:val="21"/>
          <w:highlight w:val="none"/>
        </w:rPr>
        <w:t>2、</w:t>
      </w:r>
      <w:bookmarkEnd w:id="80"/>
      <w:bookmarkEnd w:id="81"/>
      <w:bookmarkEnd w:id="82"/>
      <w:r>
        <w:rPr>
          <w:rFonts w:hint="eastAsia" w:ascii="宋体" w:hAnsi="宋体"/>
          <w:color w:val="auto"/>
          <w:szCs w:val="21"/>
          <w:highlight w:val="none"/>
        </w:rPr>
        <w:t>响应文件开启时间</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2.1代理机构收到响应文件的时间不得迟于本磋商文件规定的响应文件接收截止时间。</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2.2代理机构有权通过修改磋商文件推迟响应文件接收截止时间，在此情况下，磋商供应商的所有权利和义务以及受制的响应文件接收截止时间均应以延长后新的响应文件接收截止时间为准。</w:t>
      </w:r>
    </w:p>
    <w:p>
      <w:pPr>
        <w:tabs>
          <w:tab w:val="left" w:pos="900"/>
        </w:tabs>
        <w:spacing w:line="440" w:lineRule="exact"/>
        <w:ind w:firstLine="420" w:firstLineChars="200"/>
        <w:rPr>
          <w:rFonts w:ascii="宋体" w:hAnsi="宋体"/>
          <w:color w:val="auto"/>
          <w:szCs w:val="21"/>
          <w:highlight w:val="none"/>
        </w:rPr>
      </w:pPr>
      <w:bookmarkStart w:id="83" w:name="_Hlt26954860"/>
      <w:bookmarkEnd w:id="83"/>
      <w:bookmarkStart w:id="84" w:name="_Toc61149565"/>
      <w:bookmarkStart w:id="85" w:name="_Toc14577365"/>
      <w:bookmarkStart w:id="86" w:name="_Toc513029227"/>
      <w:r>
        <w:rPr>
          <w:rFonts w:hint="eastAsia" w:ascii="宋体" w:hAnsi="宋体"/>
          <w:color w:val="auto"/>
          <w:szCs w:val="21"/>
          <w:highlight w:val="none"/>
        </w:rPr>
        <w:t>3、迟交的响应文件</w:t>
      </w:r>
      <w:bookmarkEnd w:id="84"/>
      <w:bookmarkEnd w:id="85"/>
      <w:bookmarkEnd w:id="86"/>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3.1代理机构将拒绝在规定的响应文件接收截止时间后接收任何响应文件。</w:t>
      </w:r>
    </w:p>
    <w:p>
      <w:pPr>
        <w:tabs>
          <w:tab w:val="left" w:pos="900"/>
        </w:tabs>
        <w:spacing w:line="440" w:lineRule="exact"/>
        <w:ind w:firstLine="420" w:firstLineChars="200"/>
        <w:rPr>
          <w:rFonts w:ascii="宋体" w:hAnsi="宋体"/>
          <w:color w:val="auto"/>
          <w:szCs w:val="21"/>
          <w:highlight w:val="none"/>
        </w:rPr>
      </w:pPr>
      <w:bookmarkStart w:id="87" w:name="_Hlt26954754"/>
      <w:bookmarkEnd w:id="87"/>
      <w:bookmarkStart w:id="88" w:name="_Hlt26954862"/>
      <w:bookmarkEnd w:id="88"/>
      <w:bookmarkStart w:id="89" w:name="_Toc14577366"/>
      <w:bookmarkStart w:id="90" w:name="_Toc61149566"/>
      <w:bookmarkStart w:id="91" w:name="_Toc513029228"/>
      <w:r>
        <w:rPr>
          <w:rFonts w:hint="eastAsia" w:ascii="宋体" w:hAnsi="宋体"/>
          <w:color w:val="auto"/>
          <w:szCs w:val="21"/>
          <w:highlight w:val="none"/>
        </w:rPr>
        <w:t>4、响应文件</w:t>
      </w:r>
      <w:bookmarkStart w:id="92" w:name="_Hlt26670588"/>
      <w:r>
        <w:rPr>
          <w:rFonts w:hint="eastAsia" w:ascii="宋体" w:hAnsi="宋体"/>
          <w:color w:val="auto"/>
          <w:szCs w:val="21"/>
          <w:highlight w:val="none"/>
        </w:rPr>
        <w:t>的修改</w:t>
      </w:r>
      <w:bookmarkEnd w:id="92"/>
      <w:r>
        <w:rPr>
          <w:rFonts w:hint="eastAsia" w:ascii="宋体" w:hAnsi="宋体"/>
          <w:color w:val="auto"/>
          <w:szCs w:val="21"/>
          <w:highlight w:val="none"/>
        </w:rPr>
        <w:t>和撤回</w:t>
      </w:r>
      <w:bookmarkEnd w:id="89"/>
      <w:bookmarkEnd w:id="90"/>
      <w:bookmarkEnd w:id="91"/>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4.1磋商供应商在递交响应文件后，可以修改或撤回其磋商响应文件，但这种修改和撤回，必须在规定的响应文件接收截止时间前，以书面形式送达指定地点。</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4.2磋商供应商的修改或撤回通知书，应按本文件规定进行编制、密封、标记和发送，并应在封套上加注“修改”和“撤回”字样。</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4.3 磋商供应商在提交最后报价之前，可以根据磋商情况退出磋商，代理机构退还退出磋商的供应商的磋商保证金。</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5、磋商响应有效期</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5.1 磋商响应有效期为代理机构规定的响应文件接收截止时间后六十（60）天。磋商响应有效期比规定短的将被视为非实质性响应性而予以拒绝。</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5.2 在特殊情况下，代理机构于原磋商响应有效期满之前，可向磋商供应商提出延长磋商响应有效期的要求。这种要求与答复均应采用书面形式。磋商供应商可以拒绝代理机构的这一要求而放弃磋商响应，代理机构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pPr>
        <w:tabs>
          <w:tab w:val="left" w:pos="900"/>
        </w:tabs>
        <w:spacing w:line="440" w:lineRule="exact"/>
        <w:ind w:firstLine="422" w:firstLineChars="200"/>
        <w:rPr>
          <w:rFonts w:ascii="宋体" w:hAnsi="宋体"/>
          <w:b/>
          <w:color w:val="auto"/>
          <w:szCs w:val="21"/>
          <w:highlight w:val="none"/>
        </w:rPr>
      </w:pPr>
      <w:bookmarkStart w:id="93" w:name="_Hlt26670523"/>
      <w:bookmarkEnd w:id="93"/>
      <w:bookmarkStart w:id="94" w:name="_Hlt26954864"/>
      <w:bookmarkEnd w:id="94"/>
      <w:r>
        <w:rPr>
          <w:rFonts w:hint="eastAsia" w:ascii="宋体" w:hAnsi="宋体"/>
          <w:b/>
          <w:color w:val="auto"/>
          <w:szCs w:val="21"/>
          <w:highlight w:val="none"/>
        </w:rPr>
        <w:t>四、磋商与评审</w:t>
      </w:r>
    </w:p>
    <w:p>
      <w:pPr>
        <w:tabs>
          <w:tab w:val="left" w:pos="900"/>
        </w:tabs>
        <w:spacing w:line="440" w:lineRule="exact"/>
        <w:ind w:firstLine="420" w:firstLineChars="200"/>
        <w:rPr>
          <w:rFonts w:ascii="宋体" w:hAnsi="宋体"/>
          <w:color w:val="auto"/>
          <w:szCs w:val="21"/>
          <w:highlight w:val="none"/>
        </w:rPr>
      </w:pPr>
      <w:bookmarkStart w:id="95" w:name="_Toc16938546"/>
      <w:bookmarkStart w:id="96" w:name="_Toc513029230"/>
      <w:bookmarkStart w:id="97" w:name="_Toc20823302"/>
      <w:r>
        <w:rPr>
          <w:rFonts w:hint="eastAsia" w:ascii="宋体" w:hAnsi="宋体"/>
          <w:color w:val="auto"/>
          <w:szCs w:val="21"/>
          <w:highlight w:val="none"/>
        </w:rPr>
        <w:t>1、</w:t>
      </w:r>
      <w:bookmarkEnd w:id="95"/>
      <w:bookmarkEnd w:id="96"/>
      <w:bookmarkEnd w:id="97"/>
      <w:r>
        <w:rPr>
          <w:rFonts w:hint="eastAsia" w:ascii="宋体" w:hAnsi="宋体"/>
          <w:color w:val="auto"/>
          <w:szCs w:val="21"/>
          <w:highlight w:val="none"/>
        </w:rPr>
        <w:t>磋商仪式</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1.1代理机构将在采购邀请中规定的时间和地点组织磋商开始仪式，仪式由代理机构主持，磋商供应商应委派携带有效证件的代表准时参加，参加仪式的代表需签名以证明其出席。</w:t>
      </w:r>
    </w:p>
    <w:p>
      <w:pPr>
        <w:tabs>
          <w:tab w:val="left" w:pos="900"/>
        </w:tabs>
        <w:spacing w:line="440" w:lineRule="exact"/>
        <w:ind w:firstLine="420" w:firstLineChars="200"/>
        <w:rPr>
          <w:rFonts w:ascii="宋体" w:hAnsi="宋体"/>
          <w:color w:val="auto"/>
          <w:szCs w:val="21"/>
          <w:highlight w:val="none"/>
        </w:rPr>
      </w:pPr>
      <w:bookmarkStart w:id="98" w:name="_Toc513029231"/>
      <w:bookmarkStart w:id="99" w:name="_Toc16938547"/>
      <w:bookmarkStart w:id="100" w:name="_Toc20823303"/>
      <w:r>
        <w:rPr>
          <w:rFonts w:hint="eastAsia" w:ascii="宋体" w:hAnsi="宋体"/>
          <w:color w:val="auto"/>
          <w:szCs w:val="21"/>
          <w:highlight w:val="none"/>
        </w:rPr>
        <w:t>2、磋商小组</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2.1 磋商开始仪式结束后，代理机构将立即组织磋商小组进行评审。</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2.2 磋商小组由政府采购评审专家、采购人代表组成，且人员构成符合政府采购有关规定。</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3、磋商评审过程的保密</w:t>
      </w:r>
      <w:bookmarkEnd w:id="98"/>
      <w:bookmarkEnd w:id="99"/>
      <w:bookmarkEnd w:id="100"/>
      <w:r>
        <w:rPr>
          <w:rFonts w:hint="eastAsia" w:ascii="宋体" w:hAnsi="宋体"/>
          <w:color w:val="auto"/>
          <w:szCs w:val="21"/>
          <w:highlight w:val="none"/>
        </w:rPr>
        <w:t>与公正</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3.1磋商小组</w:t>
      </w:r>
      <w:r>
        <w:rPr>
          <w:rFonts w:ascii="宋体" w:hAnsi="宋体"/>
          <w:color w:val="auto"/>
          <w:szCs w:val="21"/>
          <w:highlight w:val="none"/>
        </w:rPr>
        <w:t>、采购人和</w:t>
      </w:r>
      <w:r>
        <w:rPr>
          <w:rFonts w:hint="eastAsia" w:ascii="宋体" w:hAnsi="宋体"/>
          <w:color w:val="auto"/>
          <w:szCs w:val="21"/>
          <w:highlight w:val="none"/>
        </w:rPr>
        <w:t>代理机构</w:t>
      </w:r>
      <w:r>
        <w:rPr>
          <w:rFonts w:ascii="宋体" w:hAnsi="宋体"/>
          <w:color w:val="auto"/>
          <w:szCs w:val="21"/>
          <w:highlight w:val="none"/>
        </w:rPr>
        <w:t>工作人员、相关监督人员等与评审工作有关的人员，对评审情况以及在评审过程中获悉的国家秘密、商业秘密负有保密责任</w:t>
      </w:r>
      <w:r>
        <w:rPr>
          <w:rFonts w:hint="eastAsia" w:ascii="宋体" w:hAnsi="宋体"/>
          <w:color w:val="auto"/>
          <w:szCs w:val="21"/>
          <w:highlight w:val="none"/>
        </w:rPr>
        <w:t>。</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3.2在磋商评审过程中，磋商供应商不得以任何行为影响磋商评审过程，否则其响应文件将被作为无效响应文件。</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spacing w:line="440" w:lineRule="exact"/>
        <w:ind w:firstLine="420" w:firstLineChars="200"/>
        <w:rPr>
          <w:rFonts w:ascii="宋体" w:hAnsi="宋体"/>
          <w:color w:val="auto"/>
          <w:szCs w:val="21"/>
          <w:highlight w:val="none"/>
        </w:rPr>
      </w:pPr>
      <w:bookmarkStart w:id="101" w:name="_Toc16938548"/>
      <w:bookmarkStart w:id="102" w:name="_Toc513029232"/>
      <w:bookmarkStart w:id="103" w:name="_Toc20823304"/>
      <w:r>
        <w:rPr>
          <w:rFonts w:hint="eastAsia" w:ascii="宋体" w:hAnsi="宋体"/>
          <w:color w:val="auto"/>
          <w:szCs w:val="21"/>
          <w:highlight w:val="none"/>
        </w:rPr>
        <w:t>4、评审过程的澄清</w:t>
      </w:r>
      <w:bookmarkEnd w:id="101"/>
      <w:bookmarkEnd w:id="102"/>
      <w:bookmarkEnd w:id="103"/>
      <w:r>
        <w:rPr>
          <w:rFonts w:hint="eastAsia" w:ascii="宋体" w:hAnsi="宋体"/>
          <w:color w:val="auto"/>
          <w:szCs w:val="21"/>
          <w:highlight w:val="none"/>
        </w:rPr>
        <w:t>、说明和更正</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1</w:t>
      </w:r>
      <w:r>
        <w:rPr>
          <w:rFonts w:hint="eastAsia" w:ascii="宋体" w:hAnsi="宋体"/>
          <w:color w:val="auto"/>
          <w:szCs w:val="21"/>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4.3 接到磋商小组澄清要求的供应商如未按规定做出澄清，其风险由供应商自行承担。</w:t>
      </w:r>
    </w:p>
    <w:p>
      <w:pPr>
        <w:tabs>
          <w:tab w:val="left" w:pos="900"/>
        </w:tabs>
        <w:spacing w:line="440" w:lineRule="exact"/>
        <w:ind w:firstLine="420" w:firstLineChars="200"/>
        <w:rPr>
          <w:rFonts w:ascii="宋体" w:hAnsi="宋体"/>
          <w:color w:val="auto"/>
          <w:szCs w:val="21"/>
          <w:highlight w:val="none"/>
        </w:rPr>
      </w:pPr>
      <w:bookmarkStart w:id="104" w:name="_Toc513029233"/>
      <w:bookmarkStart w:id="105" w:name="_Toc20823305"/>
      <w:bookmarkStart w:id="106" w:name="_Toc16938549"/>
      <w:r>
        <w:rPr>
          <w:rFonts w:hint="eastAsia" w:ascii="宋体" w:hAnsi="宋体"/>
          <w:color w:val="auto"/>
          <w:szCs w:val="21"/>
          <w:highlight w:val="none"/>
        </w:rPr>
        <w:t>5、对响应文件的初审</w:t>
      </w:r>
      <w:bookmarkEnd w:id="104"/>
      <w:bookmarkEnd w:id="105"/>
      <w:bookmarkEnd w:id="106"/>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5.1响应文件初审分为资格性检查和符合性检查。</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资格性检查：依据法律法规和磋商文件的规定，对响应文件中的资格证明文件、磋商保证金等进行审查，以确定供应商是否具备参加磋商的资格。</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符合性检查：依据磋商文件的规定，从响应文件的有效性、完整性和对磋商文件的响应程度进行审查，以确定是否对磋商文件的实质性要求作出响应。</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5.2在正式磋商之前，磋商小组将首先审查每份响应文件是否实质性响应了磋商文件的要求。实质性响应的响应文件应该是与磋商文件要求的条款、条件和规格相符，没有重大偏离或保留。</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w:t>
      </w:r>
      <w:r>
        <w:rPr>
          <w:rFonts w:hint="eastAsia"/>
          <w:color w:val="auto"/>
          <w:szCs w:val="21"/>
          <w:highlight w:val="none"/>
        </w:rPr>
        <w:t>是否属于重大偏离由磋商小组按照少数服从多数的原则作出结论。</w:t>
      </w:r>
      <w:r>
        <w:rPr>
          <w:rFonts w:hint="eastAsia" w:ascii="宋体" w:hAnsi="宋体"/>
          <w:color w:val="auto"/>
          <w:szCs w:val="21"/>
          <w:highlight w:val="none"/>
        </w:rPr>
        <w:t>磋商小组决定响应文件的响应性只根据响应文件本身的内容，而不寻求外部的证据。</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5.3 被认定为未实质性响应磋商文件的响应文件的情形</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（1）未按要求交纳磋商保证金的；</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（2）未按照磋商文件规定要求密封、签署、盖章的；</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（3）供应商在报价时采用选择性报价；</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（4）供应商不具备磋商文件中规定资格要求的；</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（5）不符合法律、法规和磋商文件中规定的其他实质性要求和条件的（本磋商文件中斜体且有下划线部分为实质性要求和条件）；</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（6）其他法律、法规及本磋商文件规定的属未实质性响应的响应文件的情形。</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5.4 未实质性响应磋商文件的响应文件按无效响应处理，磋商小组将予以拒绝，供应商不得通过修改或撤销不合要求的偏离或保留而使其响应文件成为实质性响应的文件。</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5.5同一项目（项目未分包）或同一分包（项目有不同分包），如出现</w:t>
      </w:r>
      <w:r>
        <w:rPr>
          <w:rFonts w:ascii="宋体" w:hAnsi="宋体"/>
          <w:color w:val="auto"/>
          <w:szCs w:val="21"/>
          <w:highlight w:val="none"/>
        </w:rPr>
        <w:t>同一品牌同一型号</w:t>
      </w:r>
      <w:r>
        <w:rPr>
          <w:rFonts w:hint="eastAsia" w:ascii="宋体" w:hAnsi="宋体"/>
          <w:color w:val="auto"/>
          <w:szCs w:val="21"/>
          <w:highlight w:val="none"/>
        </w:rPr>
        <w:t>的</w:t>
      </w:r>
      <w:r>
        <w:rPr>
          <w:rFonts w:ascii="宋体" w:hAnsi="宋体"/>
          <w:color w:val="auto"/>
          <w:szCs w:val="21"/>
          <w:highlight w:val="none"/>
        </w:rPr>
        <w:t>产品</w:t>
      </w:r>
      <w:r>
        <w:rPr>
          <w:rFonts w:hint="eastAsia" w:ascii="宋体" w:hAnsi="宋体"/>
          <w:color w:val="auto"/>
          <w:szCs w:val="21"/>
          <w:highlight w:val="none"/>
        </w:rPr>
        <w:t>有多个供应商参加磋商时，磋商中在其他条件合格的前提下，选取首次报价最低的供应商参加磋商最后报价，其他供应商作为无效响应处理。</w:t>
      </w:r>
    </w:p>
    <w:p>
      <w:pPr>
        <w:tabs>
          <w:tab w:val="left" w:pos="900"/>
        </w:tabs>
        <w:spacing w:line="440" w:lineRule="exact"/>
        <w:ind w:firstLine="420" w:firstLineChars="200"/>
        <w:rPr>
          <w:rFonts w:ascii="宋体" w:hAnsi="宋体"/>
          <w:color w:val="auto"/>
          <w:szCs w:val="21"/>
          <w:highlight w:val="none"/>
        </w:rPr>
      </w:pPr>
      <w:bookmarkStart w:id="107" w:name="_Toc20823306"/>
      <w:bookmarkStart w:id="108" w:name="_Toc513029234"/>
      <w:bookmarkStart w:id="109" w:name="_Toc16938550"/>
      <w:r>
        <w:rPr>
          <w:rFonts w:hint="eastAsia" w:ascii="宋体" w:hAnsi="宋体"/>
          <w:color w:val="auto"/>
          <w:szCs w:val="21"/>
          <w:highlight w:val="none"/>
        </w:rPr>
        <w:t>6、</w:t>
      </w:r>
      <w:bookmarkEnd w:id="107"/>
      <w:bookmarkEnd w:id="108"/>
      <w:bookmarkEnd w:id="109"/>
      <w:r>
        <w:rPr>
          <w:rFonts w:hint="eastAsia" w:ascii="宋体" w:hAnsi="宋体"/>
          <w:color w:val="auto"/>
          <w:szCs w:val="21"/>
          <w:highlight w:val="none"/>
        </w:rPr>
        <w:t>磋商程序及评审方法和标准</w:t>
      </w:r>
    </w:p>
    <w:p>
      <w:pPr>
        <w:tabs>
          <w:tab w:val="left" w:pos="900"/>
        </w:tabs>
        <w:spacing w:line="440" w:lineRule="exact"/>
        <w:ind w:firstLine="420" w:firstLineChars="200"/>
        <w:rPr>
          <w:rFonts w:ascii="宋体" w:hAnsi="宋体"/>
          <w:color w:val="auto"/>
          <w:szCs w:val="21"/>
          <w:highlight w:val="none"/>
        </w:rPr>
      </w:pPr>
      <w:bookmarkStart w:id="110" w:name="_Toc513029235"/>
      <w:bookmarkStart w:id="111" w:name="_Toc16938551"/>
      <w:bookmarkStart w:id="112" w:name="_Toc20823307"/>
      <w:r>
        <w:rPr>
          <w:rFonts w:hint="eastAsia" w:ascii="宋体" w:hAnsi="宋体"/>
          <w:color w:val="auto"/>
          <w:szCs w:val="21"/>
          <w:highlight w:val="none"/>
        </w:rPr>
        <w:t>6.1磋商程序</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6.1.1 对于通过资格性和符合性审查的供应商，磋商小组所有成员将集中与单一供应商分别进行磋商。</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6.1.2 </w:t>
      </w:r>
      <w:r>
        <w:rPr>
          <w:rFonts w:ascii="宋体" w:hAnsi="宋体"/>
          <w:color w:val="auto"/>
          <w:szCs w:val="21"/>
          <w:highlight w:val="none"/>
        </w:rPr>
        <w:t>磋商文件能够详细列明采购标的的技术、服务要求的，磋商结束后，磋商小组</w:t>
      </w:r>
      <w:r>
        <w:rPr>
          <w:rFonts w:hint="eastAsia" w:ascii="宋体" w:hAnsi="宋体"/>
          <w:color w:val="auto"/>
          <w:szCs w:val="21"/>
          <w:highlight w:val="none"/>
        </w:rPr>
        <w:t>将</w:t>
      </w:r>
      <w:r>
        <w:rPr>
          <w:rFonts w:ascii="宋体" w:hAnsi="宋体"/>
          <w:color w:val="auto"/>
          <w:szCs w:val="21"/>
          <w:highlight w:val="none"/>
        </w:rPr>
        <w:t>要求所有实质性响应的供应商在规定时间内提交最后报价。</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最后报价是供应商响应文件的有效组成部分。符合《政府采购竞争性磋商采购方式管理暂行办法》第三条及《财政部关于竞争性磋商采购方式管理暂行办法有关问题的补充通知》（财库[2015]124号）规定情形的，提交最后报价的供应商可以为2家。</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6.1.3 磋商供应商未在磋商小组规定的时间内完成最后报价的视为放弃磋商，其磋商响应按无效响应处理。最后报价须由磋商供应商法定代表人或授权代表签字或者加盖公章。</w:t>
      </w:r>
      <w:r>
        <w:rPr>
          <w:rFonts w:ascii="宋体" w:hAnsi="宋体"/>
          <w:color w:val="auto"/>
          <w:szCs w:val="21"/>
          <w:highlight w:val="none"/>
        </w:rPr>
        <w:t>已提交响应文件的供应商，在提交最后报价之前，可以根据磋商情况退出磋商。</w:t>
      </w:r>
      <w:r>
        <w:rPr>
          <w:rFonts w:hint="eastAsia" w:ascii="宋体" w:hAnsi="宋体"/>
          <w:color w:val="auto"/>
          <w:szCs w:val="21"/>
          <w:highlight w:val="none"/>
        </w:rPr>
        <w:t>代理机构将</w:t>
      </w:r>
      <w:r>
        <w:rPr>
          <w:rFonts w:ascii="宋体" w:hAnsi="宋体"/>
          <w:color w:val="auto"/>
          <w:szCs w:val="21"/>
          <w:highlight w:val="none"/>
        </w:rPr>
        <w:t>退还退出磋商的供应商的磋商保证金。</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6.2 评审方法和标准</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6.2.1评审方法。经磋商确定最终采购需求和提交最后报价的供应商后，由磋商小组采用综合评分法对提交最后报价的供应商的响应文件和最后报价进行综合评分。</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6.2.2评审标准</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见本磋商文件第五章规定。</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6.3采购活动终止的情况</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出现下列情形之一的，本次竞争性磋商采购活动将被终止：</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（1）因情况变化，不再符合规定的竞争性磋商采购方式适用情形的；</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（2）出现影响采购公正的违法、违规行为的；</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（3）除本磋商文件第6.1.2条第三款规定的情形外，在采购过程中符合要求的供应商或者报价未超过采购预算的供应商不足3家的。</w:t>
      </w:r>
      <w:bookmarkEnd w:id="110"/>
      <w:bookmarkEnd w:id="111"/>
      <w:bookmarkEnd w:id="112"/>
    </w:p>
    <w:p>
      <w:pPr>
        <w:tabs>
          <w:tab w:val="left" w:pos="900"/>
        </w:tabs>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五、成交</w:t>
      </w:r>
    </w:p>
    <w:p>
      <w:pPr>
        <w:tabs>
          <w:tab w:val="left" w:pos="900"/>
        </w:tabs>
        <w:spacing w:line="440" w:lineRule="exact"/>
        <w:ind w:firstLine="420" w:firstLineChars="200"/>
        <w:rPr>
          <w:rFonts w:ascii="宋体" w:hAnsi="宋体"/>
          <w:color w:val="auto"/>
          <w:szCs w:val="21"/>
          <w:highlight w:val="none"/>
        </w:rPr>
      </w:pPr>
      <w:bookmarkStart w:id="113" w:name="_Toc513029238"/>
      <w:bookmarkStart w:id="114" w:name="_Toc16938554"/>
      <w:bookmarkStart w:id="115" w:name="_Toc20823310"/>
      <w:r>
        <w:rPr>
          <w:rFonts w:hint="eastAsia" w:ascii="宋体" w:hAnsi="宋体"/>
          <w:color w:val="auto"/>
          <w:szCs w:val="21"/>
          <w:highlight w:val="none"/>
        </w:rPr>
        <w:t>1、</w:t>
      </w:r>
      <w:bookmarkEnd w:id="113"/>
      <w:r>
        <w:rPr>
          <w:rFonts w:hint="eastAsia" w:ascii="宋体" w:hAnsi="宋体"/>
          <w:color w:val="auto"/>
          <w:szCs w:val="21"/>
          <w:highlight w:val="none"/>
        </w:rPr>
        <w:t>确定</w:t>
      </w:r>
      <w:bookmarkEnd w:id="114"/>
      <w:bookmarkEnd w:id="115"/>
      <w:r>
        <w:rPr>
          <w:rFonts w:hint="eastAsia" w:ascii="宋体" w:hAnsi="宋体"/>
          <w:color w:val="auto"/>
          <w:szCs w:val="21"/>
          <w:highlight w:val="none"/>
        </w:rPr>
        <w:t>成交单位</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1.1 磋商小组根据综合评分情况，按照评审得分由高到低顺序推荐3名以上成交候选供应商，并编写评审报告。符合本文件第6.1.2条情形的，可以推荐2家成交候选供应商。评审得分相同的，按照最后报价由低到高的顺序推荐。评审得分且最后报价相同的，有采购人组织抽签方式确定成交候选人。</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1.2采购人根据磋商小组推荐的成交候选人确定成交供应商。采购人确定成交供应商后，代理机构将在“</w:t>
      </w:r>
      <w:r>
        <w:rPr>
          <w:rFonts w:hint="eastAsia" w:ascii="宋体" w:hAnsi="宋体"/>
          <w:color w:val="auto"/>
          <w:szCs w:val="21"/>
          <w:highlight w:val="none"/>
          <w:lang w:eastAsia="zh-CN"/>
        </w:rPr>
        <w:t>扬州高等职业技术学校网站</w:t>
      </w:r>
      <w:r>
        <w:rPr>
          <w:rFonts w:ascii="宋体" w:hAnsi="宋体"/>
          <w:color w:val="auto"/>
          <w:szCs w:val="21"/>
          <w:highlight w:val="none"/>
        </w:rPr>
        <w:t>”</w:t>
      </w:r>
      <w:r>
        <w:rPr>
          <w:rFonts w:hint="eastAsia" w:ascii="宋体" w:hAnsi="宋体"/>
          <w:color w:val="auto"/>
          <w:szCs w:val="21"/>
          <w:highlight w:val="none"/>
        </w:rPr>
        <w:t>发布成交结果公告，公告期限为1个工作日。</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1.3若有充分证据证明，成交供应商出现下列情况之一的，一经查实，将被取消成交资格：</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（1）提供虚假材料谋取成交的；</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（2）与评审专家、采购人、其他供应商或者代理机构工作人员恶意串通的；</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（3）向评审专家、采购人或代理机构工作人员行贿或者提供其他不正当利益的；</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（4）恶意竞争，最终总报价明显低于其自身合理成本且又无法提供证明的；</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（5）不满足本磋商文件规定的实质性要求，但在评审过程中又未被磋商小组发现的；</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（6）成交后无正当理由拒不与采购人签订政府采购合同或者未按照磋商文件确定的事项签订政府采购合同；</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（7）将政府采购合同转包；</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（8）法律、法规、规章规定的属于成交无效的其他情形。</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2、质疑处理</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2.1供应商认为采购文件、采购过程和</w:t>
      </w:r>
      <w:r>
        <w:rPr>
          <w:rFonts w:hint="eastAsia" w:ascii="宋体" w:hAnsi="宋体"/>
          <w:color w:val="auto"/>
          <w:szCs w:val="21"/>
          <w:highlight w:val="none"/>
          <w:lang w:eastAsia="zh-CN"/>
        </w:rPr>
        <w:t>成交</w:t>
      </w:r>
      <w:r>
        <w:rPr>
          <w:rFonts w:hint="eastAsia" w:ascii="宋体" w:hAnsi="宋体"/>
          <w:color w:val="auto"/>
          <w:szCs w:val="21"/>
          <w:highlight w:val="none"/>
        </w:rPr>
        <w:t>或成交结果使自己的权益受到损害的，以书面形式向采购人或代理机构提出质疑。</w:t>
      </w:r>
    </w:p>
    <w:p>
      <w:pPr>
        <w:spacing w:line="44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rPr>
        <w:t>2.1.1对采购文件提出质疑的，应当在响应文件递交截止时间前提出。</w:t>
      </w:r>
      <w:r>
        <w:rPr>
          <w:rFonts w:ascii="宋体" w:hAnsi="宋体" w:cs="宋体"/>
          <w:color w:val="auto"/>
          <w:szCs w:val="21"/>
          <w:highlight w:val="none"/>
        </w:rPr>
        <w:br w:type="textWrapping"/>
      </w:r>
      <w:r>
        <w:rPr>
          <w:rFonts w:hint="eastAsia" w:ascii="宋体" w:hAnsi="宋体" w:cs="宋体"/>
          <w:color w:val="auto"/>
          <w:szCs w:val="21"/>
          <w:highlight w:val="none"/>
        </w:rPr>
        <w:t>　　</w:t>
      </w:r>
      <w:r>
        <w:rPr>
          <w:rFonts w:hint="eastAsia" w:ascii="宋体" w:hAnsi="宋体"/>
          <w:color w:val="auto"/>
          <w:szCs w:val="21"/>
          <w:highlight w:val="none"/>
        </w:rPr>
        <w:t>2.1.2</w:t>
      </w:r>
      <w:r>
        <w:rPr>
          <w:rFonts w:hint="eastAsia" w:ascii="宋体" w:hAnsi="宋体" w:cs="宋体"/>
          <w:color w:val="auto"/>
          <w:szCs w:val="21"/>
          <w:highlight w:val="none"/>
        </w:rPr>
        <w:t>对采购过程提出质疑的，为各采购程序环节结束之日起7个工作日内提出。</w:t>
      </w:r>
      <w:r>
        <w:rPr>
          <w:rFonts w:ascii="宋体" w:hAnsi="宋体" w:cs="宋体"/>
          <w:color w:val="auto"/>
          <w:szCs w:val="21"/>
          <w:highlight w:val="none"/>
        </w:rPr>
        <w:br w:type="textWrapping"/>
      </w:r>
      <w:r>
        <w:rPr>
          <w:rFonts w:hint="eastAsia" w:ascii="宋体" w:hAnsi="宋体" w:cs="宋体"/>
          <w:color w:val="auto"/>
          <w:szCs w:val="21"/>
          <w:highlight w:val="none"/>
        </w:rPr>
        <w:t>　　</w:t>
      </w:r>
      <w:r>
        <w:rPr>
          <w:rFonts w:hint="eastAsia" w:ascii="宋体" w:hAnsi="宋体"/>
          <w:color w:val="auto"/>
          <w:szCs w:val="21"/>
          <w:highlight w:val="none"/>
        </w:rPr>
        <w:t>2.1.3</w:t>
      </w:r>
      <w:r>
        <w:rPr>
          <w:rFonts w:hint="eastAsia" w:ascii="宋体" w:hAnsi="宋体" w:cs="宋体"/>
          <w:color w:val="auto"/>
          <w:szCs w:val="21"/>
          <w:highlight w:val="none"/>
        </w:rPr>
        <w:t>对</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结果提出质疑的，为</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结果公告期限届满之日起7个工作日内提出。</w:t>
      </w:r>
    </w:p>
    <w:p>
      <w:pPr>
        <w:spacing w:line="440" w:lineRule="exact"/>
        <w:ind w:firstLine="420" w:firstLineChars="200"/>
        <w:rPr>
          <w:rFonts w:ascii="宋体" w:hAnsi="宋体"/>
          <w:snapToGrid w:val="0"/>
          <w:color w:val="auto"/>
          <w:szCs w:val="21"/>
          <w:highlight w:val="none"/>
        </w:rPr>
      </w:pPr>
      <w:r>
        <w:rPr>
          <w:rFonts w:hint="eastAsia" w:ascii="宋体" w:hAnsi="宋体"/>
          <w:color w:val="auto"/>
          <w:szCs w:val="21"/>
          <w:highlight w:val="none"/>
        </w:rPr>
        <w:t>2.2供应商应在法定质疑期内一次性提出针对同一采购程序环节的质疑。质疑必须按《政府采购法》、《政府采购法实施条例》及《政府采购质疑和投诉办法》等相关规定提交</w:t>
      </w:r>
      <w:r>
        <w:rPr>
          <w:rFonts w:hint="eastAsia" w:ascii="宋体" w:hAnsi="宋体"/>
          <w:color w:val="auto"/>
          <w:spacing w:val="-20"/>
          <w:szCs w:val="21"/>
          <w:highlight w:val="none"/>
        </w:rPr>
        <w:t>。</w:t>
      </w:r>
    </w:p>
    <w:p>
      <w:pPr>
        <w:spacing w:line="440" w:lineRule="exact"/>
        <w:ind w:firstLine="409" w:firstLineChars="195"/>
        <w:rPr>
          <w:rFonts w:ascii="宋体" w:hAnsi="宋体"/>
          <w:color w:val="auto"/>
          <w:szCs w:val="21"/>
          <w:highlight w:val="none"/>
        </w:rPr>
      </w:pPr>
      <w:r>
        <w:rPr>
          <w:rFonts w:hint="eastAsia" w:ascii="宋体" w:hAnsi="宋体"/>
          <w:color w:val="auto"/>
          <w:szCs w:val="21"/>
          <w:highlight w:val="none"/>
        </w:rPr>
        <w:t>2.3提出质疑的供应商（以下简称质疑供应商）应当是参与所质疑项目采购活动的供应商。</w:t>
      </w:r>
    </w:p>
    <w:p>
      <w:pPr>
        <w:spacing w:line="440" w:lineRule="exact"/>
        <w:ind w:firstLine="409" w:firstLineChars="195"/>
        <w:rPr>
          <w:rFonts w:ascii="宋体" w:hAnsi="宋体"/>
          <w:color w:val="auto"/>
          <w:kern w:val="0"/>
          <w:szCs w:val="21"/>
          <w:highlight w:val="none"/>
        </w:rPr>
      </w:pPr>
      <w:r>
        <w:rPr>
          <w:rFonts w:hint="eastAsia" w:ascii="宋体" w:hAnsi="宋体"/>
          <w:color w:val="auto"/>
          <w:szCs w:val="21"/>
          <w:highlight w:val="none"/>
        </w:rPr>
        <w:t>潜在供应商已依法获取其可质疑的采购文件的，可以对该文件提出质疑。对采购文件提出质疑的，应当在获取采购文件或者采购文件公告期限届满之日起7个工作日内提出。</w:t>
      </w:r>
    </w:p>
    <w:p>
      <w:pPr>
        <w:spacing w:line="440" w:lineRule="exact"/>
        <w:ind w:firstLine="409" w:firstLineChars="195"/>
        <w:rPr>
          <w:rFonts w:ascii="宋体" w:hAnsi="宋体"/>
          <w:color w:val="auto"/>
          <w:szCs w:val="21"/>
          <w:highlight w:val="none"/>
        </w:rPr>
      </w:pPr>
      <w:r>
        <w:rPr>
          <w:rFonts w:hint="eastAsia" w:ascii="宋体" w:hAnsi="宋体"/>
          <w:color w:val="auto"/>
          <w:szCs w:val="21"/>
          <w:highlight w:val="none"/>
        </w:rPr>
        <w:t>2.4供应商提出质疑应当提交质疑函和必要的证明材料。质疑函应当包括下列内容：</w:t>
      </w:r>
    </w:p>
    <w:p>
      <w:pPr>
        <w:spacing w:line="440" w:lineRule="exact"/>
        <w:rPr>
          <w:rFonts w:ascii="宋体" w:hAnsi="宋体"/>
          <w:color w:val="auto"/>
          <w:szCs w:val="21"/>
          <w:highlight w:val="none"/>
        </w:rPr>
      </w:pPr>
      <w:r>
        <w:rPr>
          <w:rFonts w:hint="eastAsia" w:ascii="宋体" w:hAnsi="宋体"/>
          <w:color w:val="auto"/>
          <w:szCs w:val="21"/>
          <w:highlight w:val="none"/>
        </w:rPr>
        <w:t>　　2.4.1供应商的姓名或者名称、地址、邮编、联系人及联系电话；</w:t>
      </w:r>
    </w:p>
    <w:p>
      <w:pPr>
        <w:spacing w:line="440" w:lineRule="exact"/>
        <w:rPr>
          <w:rFonts w:ascii="宋体" w:hAnsi="宋体"/>
          <w:color w:val="auto"/>
          <w:szCs w:val="21"/>
          <w:highlight w:val="none"/>
        </w:rPr>
      </w:pPr>
      <w:r>
        <w:rPr>
          <w:rFonts w:hint="eastAsia" w:ascii="宋体" w:hAnsi="宋体"/>
          <w:color w:val="auto"/>
          <w:szCs w:val="21"/>
          <w:highlight w:val="none"/>
        </w:rPr>
        <w:t>　　2.4.2质疑项目的名称、编号；</w:t>
      </w:r>
    </w:p>
    <w:p>
      <w:pPr>
        <w:spacing w:line="440" w:lineRule="exact"/>
        <w:rPr>
          <w:rFonts w:ascii="宋体" w:hAnsi="宋体"/>
          <w:color w:val="auto"/>
          <w:szCs w:val="21"/>
          <w:highlight w:val="none"/>
        </w:rPr>
      </w:pPr>
      <w:r>
        <w:rPr>
          <w:rFonts w:hint="eastAsia" w:ascii="宋体" w:hAnsi="宋体"/>
          <w:color w:val="auto"/>
          <w:szCs w:val="21"/>
          <w:highlight w:val="none"/>
        </w:rPr>
        <w:t>　　2.4.3具体、明确的质疑事项和与质疑事项相关的请求；</w:t>
      </w:r>
    </w:p>
    <w:p>
      <w:pPr>
        <w:spacing w:line="440" w:lineRule="exact"/>
        <w:rPr>
          <w:rFonts w:ascii="宋体" w:hAnsi="宋体"/>
          <w:color w:val="auto"/>
          <w:szCs w:val="21"/>
          <w:highlight w:val="none"/>
        </w:rPr>
      </w:pPr>
      <w:r>
        <w:rPr>
          <w:rFonts w:hint="eastAsia" w:ascii="宋体" w:hAnsi="宋体"/>
          <w:color w:val="auto"/>
          <w:szCs w:val="21"/>
          <w:highlight w:val="none"/>
        </w:rPr>
        <w:t>　　2.4.4事实依据；</w:t>
      </w:r>
    </w:p>
    <w:p>
      <w:pPr>
        <w:spacing w:line="440" w:lineRule="exact"/>
        <w:rPr>
          <w:rFonts w:ascii="宋体" w:hAnsi="宋体"/>
          <w:color w:val="auto"/>
          <w:szCs w:val="21"/>
          <w:highlight w:val="none"/>
        </w:rPr>
      </w:pPr>
      <w:r>
        <w:rPr>
          <w:rFonts w:hint="eastAsia" w:ascii="宋体" w:hAnsi="宋体"/>
          <w:color w:val="auto"/>
          <w:szCs w:val="21"/>
          <w:highlight w:val="none"/>
        </w:rPr>
        <w:t>　　2.4.5必要的法律依据；</w:t>
      </w:r>
    </w:p>
    <w:p>
      <w:pPr>
        <w:spacing w:line="440" w:lineRule="exact"/>
        <w:rPr>
          <w:rFonts w:ascii="宋体" w:hAnsi="宋体"/>
          <w:color w:val="auto"/>
          <w:szCs w:val="21"/>
          <w:highlight w:val="none"/>
        </w:rPr>
      </w:pPr>
      <w:r>
        <w:rPr>
          <w:rFonts w:hint="eastAsia" w:ascii="宋体" w:hAnsi="宋体"/>
          <w:color w:val="auto"/>
          <w:szCs w:val="21"/>
          <w:highlight w:val="none"/>
        </w:rPr>
        <w:t>　　2.4.6提出质疑的日期。</w:t>
      </w:r>
    </w:p>
    <w:p>
      <w:pPr>
        <w:spacing w:line="440" w:lineRule="exact"/>
        <w:ind w:firstLine="409" w:firstLineChars="195"/>
        <w:rPr>
          <w:rFonts w:ascii="宋体" w:hAnsi="宋体"/>
          <w:color w:val="auto"/>
          <w:szCs w:val="21"/>
          <w:highlight w:val="none"/>
        </w:rPr>
      </w:pPr>
      <w:r>
        <w:rPr>
          <w:rFonts w:hint="eastAsia" w:ascii="宋体" w:hAnsi="宋体"/>
          <w:color w:val="auto"/>
          <w:szCs w:val="21"/>
          <w:highlight w:val="none"/>
        </w:rPr>
        <w:t>供应商为自然人的，应当由本人签字；供应商为法人或者其他组织的，应当由法定代表人、主要负责人，或者其授权代表签字或者盖章，并加盖公章。</w:t>
      </w:r>
    </w:p>
    <w:p>
      <w:pPr>
        <w:spacing w:line="440" w:lineRule="exact"/>
        <w:ind w:firstLine="409" w:firstLineChars="195"/>
        <w:rPr>
          <w:rFonts w:ascii="宋体" w:hAnsi="宋体"/>
          <w:snapToGrid w:val="0"/>
          <w:color w:val="auto"/>
          <w:szCs w:val="21"/>
          <w:highlight w:val="none"/>
        </w:rPr>
      </w:pPr>
      <w:r>
        <w:rPr>
          <w:rFonts w:hint="eastAsia" w:ascii="宋体" w:hAnsi="宋体"/>
          <w:snapToGrid w:val="0"/>
          <w:color w:val="auto"/>
          <w:szCs w:val="21"/>
          <w:highlight w:val="none"/>
        </w:rPr>
        <w:t>《质疑函》及《授权委托书》格式见网址：http://zfcg.yangzhou.gov.cn</w:t>
      </w:r>
    </w:p>
    <w:p>
      <w:pPr>
        <w:spacing w:line="440" w:lineRule="exact"/>
        <w:ind w:firstLine="409" w:firstLineChars="195"/>
        <w:rPr>
          <w:rFonts w:ascii="宋体" w:hAnsi="宋体"/>
          <w:color w:val="auto"/>
          <w:szCs w:val="21"/>
          <w:highlight w:val="none"/>
        </w:rPr>
      </w:pPr>
      <w:r>
        <w:rPr>
          <w:rFonts w:hint="eastAsia" w:ascii="宋体" w:hAnsi="宋体"/>
          <w:color w:val="auto"/>
          <w:szCs w:val="21"/>
          <w:highlight w:val="none"/>
        </w:rPr>
        <w:t>2.5代理机构收到质疑申请后，将对质疑的形式和内容进行审查，如质疑内容、格式不符合规定，代理机构将告知质疑人进行补正。</w:t>
      </w:r>
    </w:p>
    <w:p>
      <w:pPr>
        <w:spacing w:line="440" w:lineRule="exact"/>
        <w:ind w:firstLine="409" w:firstLineChars="195"/>
        <w:rPr>
          <w:rFonts w:ascii="宋体" w:hAnsi="宋体"/>
          <w:color w:val="auto"/>
          <w:szCs w:val="21"/>
          <w:highlight w:val="none"/>
        </w:rPr>
      </w:pPr>
      <w:r>
        <w:rPr>
          <w:rFonts w:hint="eastAsia" w:ascii="宋体" w:hAnsi="宋体"/>
          <w:color w:val="auto"/>
          <w:szCs w:val="21"/>
          <w:highlight w:val="none"/>
        </w:rPr>
        <w:t>2.6质疑人应当在法定质疑期限内进行补正并重新提交质疑函。</w:t>
      </w:r>
    </w:p>
    <w:p>
      <w:pPr>
        <w:spacing w:line="440" w:lineRule="exact"/>
        <w:ind w:firstLine="409" w:firstLineChars="195"/>
        <w:rPr>
          <w:rFonts w:ascii="宋体" w:hAnsi="宋体"/>
          <w:color w:val="auto"/>
          <w:szCs w:val="21"/>
          <w:highlight w:val="none"/>
        </w:rPr>
      </w:pPr>
      <w:r>
        <w:rPr>
          <w:rFonts w:hint="eastAsia" w:ascii="宋体" w:hAnsi="宋体"/>
          <w:color w:val="auto"/>
          <w:szCs w:val="21"/>
          <w:highlight w:val="none"/>
        </w:rPr>
        <w:t>2.7代理机构应当在收到供应商的书面质疑后七个工作日内作出答复，并以书面形式通知质疑供应商和其他有关供应商，但答复的内容不得涉及商业秘密。</w:t>
      </w:r>
    </w:p>
    <w:p>
      <w:pPr>
        <w:spacing w:line="440" w:lineRule="exact"/>
        <w:ind w:firstLine="409" w:firstLineChars="195"/>
        <w:rPr>
          <w:rFonts w:ascii="宋体" w:hAnsi="宋体"/>
          <w:color w:val="auto"/>
          <w:szCs w:val="21"/>
          <w:highlight w:val="none"/>
        </w:rPr>
      </w:pPr>
      <w:r>
        <w:rPr>
          <w:rFonts w:hint="eastAsia" w:ascii="宋体" w:hAnsi="宋体"/>
          <w:color w:val="auto"/>
          <w:szCs w:val="21"/>
          <w:highlight w:val="none"/>
        </w:rPr>
        <w:t>2.8 诚实信用</w:t>
      </w:r>
    </w:p>
    <w:p>
      <w:pPr>
        <w:spacing w:line="440" w:lineRule="exact"/>
        <w:ind w:firstLine="409" w:firstLineChars="195"/>
        <w:rPr>
          <w:rFonts w:ascii="宋体" w:hAnsi="宋体"/>
          <w:color w:val="auto"/>
          <w:szCs w:val="21"/>
          <w:highlight w:val="none"/>
        </w:rPr>
      </w:pPr>
      <w:r>
        <w:rPr>
          <w:rFonts w:hint="eastAsia" w:ascii="宋体" w:hAnsi="宋体"/>
          <w:color w:val="auto"/>
          <w:szCs w:val="21"/>
          <w:highlight w:val="none"/>
        </w:rPr>
        <w:t>2.8.1 供应商之间不得相互串通磋商报价，不得妨碍其他供应商的公平竞争，不得损害采购人和其他供应商的合法权益。</w:t>
      </w:r>
    </w:p>
    <w:p>
      <w:pPr>
        <w:spacing w:line="440" w:lineRule="exact"/>
        <w:ind w:firstLine="409" w:firstLineChars="195"/>
        <w:rPr>
          <w:rFonts w:ascii="宋体" w:hAnsi="宋体"/>
          <w:color w:val="auto"/>
          <w:szCs w:val="21"/>
          <w:highlight w:val="none"/>
        </w:rPr>
      </w:pPr>
      <w:r>
        <w:rPr>
          <w:rFonts w:hint="eastAsia" w:ascii="宋体" w:hAnsi="宋体"/>
          <w:color w:val="auto"/>
          <w:szCs w:val="21"/>
          <w:highlight w:val="none"/>
        </w:rPr>
        <w:t>2.8.2 供应商不得以向代理机构工作人员、评标委员会成员行贿或者采取其他不正当手段谋取</w:t>
      </w:r>
      <w:r>
        <w:rPr>
          <w:rFonts w:hint="eastAsia" w:ascii="宋体" w:hAnsi="宋体"/>
          <w:color w:val="auto"/>
          <w:szCs w:val="21"/>
          <w:highlight w:val="none"/>
          <w:lang w:eastAsia="zh-CN"/>
        </w:rPr>
        <w:t>成交</w:t>
      </w:r>
      <w:r>
        <w:rPr>
          <w:rFonts w:hint="eastAsia" w:ascii="宋体" w:hAnsi="宋体"/>
          <w:color w:val="auto"/>
          <w:szCs w:val="21"/>
          <w:highlight w:val="none"/>
        </w:rPr>
        <w:t>。经查实供应商有此行为的，政府采购管理部门将供应商列入不良行为记录名单，按照《政府采购法》有关规定处理。</w:t>
      </w:r>
    </w:p>
    <w:p>
      <w:pPr>
        <w:spacing w:line="440" w:lineRule="exact"/>
        <w:ind w:firstLine="409" w:firstLineChars="195"/>
        <w:rPr>
          <w:rFonts w:ascii="宋体" w:hAnsi="宋体"/>
          <w:color w:val="auto"/>
          <w:szCs w:val="21"/>
          <w:highlight w:val="none"/>
        </w:rPr>
      </w:pPr>
      <w:r>
        <w:rPr>
          <w:rFonts w:hint="eastAsia" w:ascii="宋体" w:hAnsi="宋体"/>
          <w:color w:val="auto"/>
          <w:szCs w:val="21"/>
          <w:highlight w:val="none"/>
        </w:rPr>
        <w:t>2.8.3 供应商提出书面质疑必须有理、有据，不得虚假质疑和恶意质疑，并对质疑内容的真实性承担责任。一经查实，代理机构有权依据政府采购的有关规定，报请政府采购监管部门对该供应商进行相应的行政处罚并在网站上予以公示。如果供应商或者其他利害关系人通过捏造事实、伪造证明材料等方式提出质疑，干扰政府采购活动正常进行的，属于严重不良行为，代理机构将提请政府采购监管部门将其列入不良行为记录名单，并依法予以处罚。</w:t>
      </w:r>
    </w:p>
    <w:p>
      <w:pPr>
        <w:spacing w:line="440" w:lineRule="exact"/>
        <w:ind w:firstLine="409" w:firstLineChars="195"/>
        <w:rPr>
          <w:rFonts w:ascii="宋体" w:hAnsi="宋体"/>
          <w:color w:val="auto"/>
          <w:szCs w:val="21"/>
          <w:highlight w:val="none"/>
        </w:rPr>
      </w:pPr>
      <w:r>
        <w:rPr>
          <w:rFonts w:hint="eastAsia" w:ascii="宋体" w:hAnsi="宋体"/>
          <w:color w:val="auto"/>
          <w:szCs w:val="21"/>
          <w:highlight w:val="none"/>
        </w:rPr>
        <w:t>2.8.4 供应商不得虚假承诺，否则，按照提供虚假材料谋取</w:t>
      </w:r>
      <w:r>
        <w:rPr>
          <w:rFonts w:hint="eastAsia" w:ascii="宋体" w:hAnsi="宋体"/>
          <w:color w:val="auto"/>
          <w:szCs w:val="21"/>
          <w:highlight w:val="none"/>
          <w:lang w:eastAsia="zh-CN"/>
        </w:rPr>
        <w:t>成交</w:t>
      </w:r>
      <w:r>
        <w:rPr>
          <w:rFonts w:hint="eastAsia" w:ascii="宋体" w:hAnsi="宋体"/>
          <w:color w:val="auto"/>
          <w:szCs w:val="21"/>
          <w:highlight w:val="none"/>
        </w:rPr>
        <w:t>成交处理。</w:t>
      </w:r>
    </w:p>
    <w:p>
      <w:pPr>
        <w:spacing w:line="440" w:lineRule="exact"/>
        <w:ind w:firstLine="409" w:firstLineChars="195"/>
        <w:rPr>
          <w:rFonts w:ascii="宋体" w:hAnsi="宋体"/>
          <w:color w:val="auto"/>
          <w:szCs w:val="21"/>
          <w:highlight w:val="none"/>
        </w:rPr>
      </w:pPr>
      <w:r>
        <w:rPr>
          <w:rFonts w:hint="eastAsia" w:ascii="宋体" w:hAnsi="宋体"/>
          <w:color w:val="auto"/>
          <w:szCs w:val="21"/>
          <w:highlight w:val="none"/>
        </w:rPr>
        <w:t>2.8．5 供应商应自觉遵守开标、评标纪律，扰乱开标评标现场秩序的，属于失信行为，根据《江苏省政府采购供应商监督管理暂行办法》，失信行为将被记入供应商诚信档案。</w:t>
      </w:r>
    </w:p>
    <w:p>
      <w:pPr>
        <w:tabs>
          <w:tab w:val="left" w:pos="900"/>
        </w:tabs>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六、合同签订相关事项</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1、签订合同</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l成交供应商确定后，代理机构将向成交供应商发出成交通知书。成交供应商应按成交通知书规定的时间、地点,按照磋商文件确定的事项与采购人签订政府采购合同，且不得迟于成交通知书发出之日起三十日内，否则磋商保证金将不予退还，由此给采购人造成损失的，成交供应商还应承担赔偿责任。</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1.2 磋商文件、成交供应商的响应文件及磋商采购过程中有关澄清、承诺文件均应作为合同附件。</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1.3 签订合同后，</w:t>
      </w:r>
      <w:r>
        <w:rPr>
          <w:rFonts w:hint="eastAsia" w:ascii="宋体" w:hAnsi="宋体"/>
          <w:i/>
          <w:color w:val="auto"/>
          <w:szCs w:val="21"/>
          <w:highlight w:val="none"/>
          <w:u w:val="single"/>
        </w:rPr>
        <w:t>成交供应商不得将成交产品或服务进行转包。</w:t>
      </w:r>
      <w:r>
        <w:rPr>
          <w:rFonts w:hint="eastAsia" w:ascii="宋体" w:hAnsi="宋体"/>
          <w:color w:val="auto"/>
          <w:szCs w:val="21"/>
          <w:highlight w:val="none"/>
        </w:rPr>
        <w:t>未经采购人同意，成交供应商也不得采用分包的形式履行合同，否则采购人有权终止合同，成交供应商的履约保证金将不予退还。转包或分包造成采购人损失的，成交供应商应承担相应赔偿责任。</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2、履约保证金</w:t>
      </w:r>
    </w:p>
    <w:p>
      <w:pPr>
        <w:tabs>
          <w:tab w:val="left" w:pos="90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2.1成交供应商在收到成交通知书后，如无另行规定，成交供应商的磋商保证金将自动转为履约保证金，履约保证金用以约束成交供应商在合同履行中的行为，弥补合同执行中由于自身行为可能给采购人带来的各种损失。如果成交供应商不同意按照规定去做，代理机构有权取消本次采购成交决定，不予退还其磋商保证金。</w:t>
      </w:r>
    </w:p>
    <w:p>
      <w:pPr>
        <w:spacing w:line="440" w:lineRule="exact"/>
        <w:rPr>
          <w:rFonts w:ascii="宋体" w:hAnsi="宋体"/>
          <w:color w:val="auto"/>
          <w:szCs w:val="21"/>
          <w:highlight w:val="none"/>
        </w:rPr>
      </w:pPr>
      <w:r>
        <w:rPr>
          <w:rFonts w:hint="eastAsia" w:ascii="宋体" w:hAnsi="宋体"/>
          <w:color w:val="auto"/>
          <w:szCs w:val="21"/>
          <w:highlight w:val="none"/>
        </w:rPr>
        <w:t>2.2履约保证金的退还：合同履行结束后，成交供应商凭采购人签署的验收报告前往代理机构办理保证金退还手续。</w:t>
      </w:r>
    </w:p>
    <w:p>
      <w:pPr>
        <w:rPr>
          <w:color w:val="auto"/>
          <w:highlight w:val="none"/>
        </w:rPr>
        <w:sectPr>
          <w:footerReference r:id="rId4" w:type="default"/>
          <w:pgSz w:w="11906" w:h="16838"/>
          <w:pgMar w:top="1134" w:right="850" w:bottom="850" w:left="1134" w:header="510" w:footer="992" w:gutter="0"/>
          <w:pgNumType w:fmt="decimal" w:start="1"/>
          <w:cols w:space="720"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ascii="宋体"/>
          <w:color w:val="auto"/>
          <w:sz w:val="44"/>
          <w:szCs w:val="52"/>
          <w:highlight w:val="none"/>
        </w:rPr>
      </w:pPr>
      <w:bookmarkStart w:id="116" w:name="_Toc29215470"/>
      <w:bookmarkStart w:id="117" w:name="_Toc504128233"/>
      <w:r>
        <w:rPr>
          <w:rFonts w:hint="eastAsia" w:ascii="宋体" w:hAnsi="宋体"/>
          <w:color w:val="auto"/>
          <w:sz w:val="44"/>
          <w:szCs w:val="52"/>
          <w:highlight w:val="none"/>
        </w:rPr>
        <w:t>第三章 合同条款及格式</w:t>
      </w:r>
      <w:bookmarkEnd w:id="116"/>
      <w:bookmarkEnd w:id="117"/>
      <w:bookmarkStart w:id="118" w:name="_Toc485720646"/>
      <w:bookmarkEnd w:id="118"/>
    </w:p>
    <w:p>
      <w:pPr>
        <w:pStyle w:val="11"/>
        <w:spacing w:line="360" w:lineRule="auto"/>
        <w:ind w:firstLine="420" w:firstLineChars="200"/>
        <w:rPr>
          <w:rFonts w:hAnsi="宋体"/>
          <w:color w:val="auto"/>
          <w:sz w:val="21"/>
          <w:highlight w:val="none"/>
        </w:rPr>
      </w:pPr>
      <w:r>
        <w:rPr>
          <w:rFonts w:hint="eastAsia" w:hAnsi="宋体"/>
          <w:bCs/>
          <w:color w:val="auto"/>
          <w:sz w:val="21"/>
          <w:highlight w:val="none"/>
        </w:rPr>
        <w:t>以下为成交后签定本项目合同的通用条款，成交供应商不得提出实质性的修改，关于专用条款将由采购人与成交供应商结合本项目具体情况协商后签订。</w:t>
      </w:r>
    </w:p>
    <w:p>
      <w:pPr>
        <w:spacing w:line="360" w:lineRule="auto"/>
        <w:jc w:val="center"/>
        <w:outlineLvl w:val="0"/>
        <w:rPr>
          <w:rFonts w:hint="eastAsia" w:ascii="宋体" w:hAnsi="宋体"/>
          <w:b/>
          <w:bCs/>
          <w:color w:val="auto"/>
          <w:kern w:val="0"/>
          <w:highlight w:val="none"/>
        </w:rPr>
      </w:pPr>
      <w:r>
        <w:rPr>
          <w:rFonts w:hint="eastAsia" w:ascii="宋体" w:hAnsi="宋体"/>
          <w:b/>
          <w:bCs/>
          <w:color w:val="auto"/>
          <w:highlight w:val="none"/>
        </w:rPr>
        <w:t>政府采购合同（服务）</w:t>
      </w:r>
    </w:p>
    <w:p>
      <w:pPr>
        <w:spacing w:line="360" w:lineRule="auto"/>
        <w:jc w:val="center"/>
        <w:outlineLvl w:val="0"/>
        <w:rPr>
          <w:rFonts w:hint="eastAsia" w:ascii="宋体" w:hAnsi="宋体"/>
          <w:color w:val="auto"/>
          <w:kern w:val="0"/>
          <w:sz w:val="21"/>
          <w:szCs w:val="21"/>
          <w:highlight w:val="none"/>
        </w:rPr>
      </w:pPr>
      <w:r>
        <w:rPr>
          <w:rFonts w:hint="eastAsia" w:ascii="宋体" w:hAnsi="宋体"/>
          <w:color w:val="auto"/>
          <w:kern w:val="0"/>
          <w:sz w:val="21"/>
          <w:szCs w:val="21"/>
          <w:highlight w:val="none"/>
        </w:rPr>
        <w:t xml:space="preserve"> </w:t>
      </w:r>
    </w:p>
    <w:p>
      <w:pPr>
        <w:pStyle w:val="11"/>
        <w:snapToGrid w:val="0"/>
        <w:spacing w:line="360" w:lineRule="auto"/>
        <w:rPr>
          <w:rFonts w:hint="eastAsia" w:hAnsi="宋体"/>
          <w:color w:val="auto"/>
          <w:sz w:val="21"/>
          <w:szCs w:val="21"/>
          <w:highlight w:val="none"/>
        </w:rPr>
      </w:pPr>
      <w:r>
        <w:rPr>
          <w:rFonts w:hint="eastAsia" w:hAnsi="宋体"/>
          <w:color w:val="auto"/>
          <w:sz w:val="21"/>
          <w:szCs w:val="21"/>
          <w:highlight w:val="none"/>
        </w:rPr>
        <w:t>项目名称：</w:t>
      </w:r>
      <w:r>
        <w:rPr>
          <w:rFonts w:hint="eastAsia" w:hAnsi="宋体"/>
          <w:color w:val="auto"/>
          <w:sz w:val="21"/>
          <w:szCs w:val="21"/>
          <w:highlight w:val="none"/>
          <w:lang w:eastAsia="zh-CN"/>
        </w:rPr>
        <w:t>扬州高等职业技术学校网络教学平台及“一人一社团”网络选修课程项目</w:t>
      </w:r>
      <w:r>
        <w:rPr>
          <w:rFonts w:hint="eastAsia" w:hAnsi="宋体"/>
          <w:color w:val="auto"/>
          <w:sz w:val="21"/>
          <w:szCs w:val="21"/>
          <w:highlight w:val="none"/>
        </w:rPr>
        <w:t xml:space="preserve">    </w:t>
      </w:r>
    </w:p>
    <w:p>
      <w:pPr>
        <w:pStyle w:val="11"/>
        <w:snapToGrid w:val="0"/>
        <w:spacing w:line="360" w:lineRule="auto"/>
        <w:rPr>
          <w:rFonts w:hint="eastAsia" w:hAnsi="宋体" w:eastAsia="宋体"/>
          <w:color w:val="auto"/>
          <w:sz w:val="21"/>
          <w:szCs w:val="21"/>
          <w:highlight w:val="none"/>
          <w:lang w:val="en-US" w:eastAsia="zh-CN"/>
        </w:rPr>
      </w:pPr>
      <w:r>
        <w:rPr>
          <w:rFonts w:hint="eastAsia" w:hAnsi="宋体"/>
          <w:color w:val="auto"/>
          <w:sz w:val="21"/>
          <w:szCs w:val="21"/>
          <w:highlight w:val="none"/>
        </w:rPr>
        <w:t>编号</w:t>
      </w:r>
      <w:r>
        <w:rPr>
          <w:rFonts w:hint="eastAsia" w:ascii="宋体" w:hAnsi="宋体" w:eastAsia="宋体"/>
          <w:color w:val="auto"/>
          <w:sz w:val="21"/>
          <w:szCs w:val="21"/>
          <w:highlight w:val="none"/>
          <w:lang w:eastAsia="zh-CN"/>
        </w:rPr>
        <w:t>：</w:t>
      </w:r>
      <w:r>
        <w:rPr>
          <w:rFonts w:hint="default" w:ascii="宋体" w:hAnsi="宋体" w:eastAsia="宋体"/>
          <w:color w:val="auto"/>
          <w:sz w:val="21"/>
          <w:szCs w:val="21"/>
          <w:highlight w:val="none"/>
          <w:lang w:val="en-US" w:eastAsia="zh-CN"/>
        </w:rPr>
        <w:t>YZZYGZXCG007</w:t>
      </w:r>
      <w:r>
        <w:rPr>
          <w:rFonts w:hint="eastAsia" w:ascii="宋体" w:hAnsi="宋体" w:eastAsia="宋体"/>
          <w:color w:val="auto"/>
          <w:sz w:val="21"/>
          <w:szCs w:val="21"/>
          <w:highlight w:val="none"/>
          <w:lang w:val="en-US" w:eastAsia="zh-CN"/>
        </w:rPr>
        <w:t>号</w:t>
      </w:r>
    </w:p>
    <w:p>
      <w:pPr>
        <w:pStyle w:val="11"/>
        <w:snapToGrid w:val="0"/>
        <w:spacing w:line="360" w:lineRule="auto"/>
        <w:rPr>
          <w:rFonts w:hint="eastAsia" w:hAnsi="宋体"/>
          <w:color w:val="auto"/>
          <w:sz w:val="21"/>
          <w:szCs w:val="21"/>
          <w:highlight w:val="none"/>
        </w:rPr>
      </w:pPr>
      <w:r>
        <w:rPr>
          <w:rFonts w:hint="eastAsia" w:hAnsi="宋体"/>
          <w:color w:val="auto"/>
          <w:sz w:val="21"/>
          <w:szCs w:val="21"/>
          <w:highlight w:val="none"/>
        </w:rPr>
        <w:t>甲方（采购人/买方）：</w:t>
      </w:r>
      <w:r>
        <w:rPr>
          <w:rFonts w:hint="eastAsia" w:hAnsi="宋体"/>
          <w:color w:val="auto"/>
          <w:sz w:val="21"/>
          <w:szCs w:val="21"/>
          <w:highlight w:val="none"/>
          <w:lang w:eastAsia="zh-CN"/>
        </w:rPr>
        <w:t>扬州高等职业技术学校</w:t>
      </w:r>
      <w:r>
        <w:rPr>
          <w:rFonts w:hint="eastAsia" w:hAnsi="宋体"/>
          <w:color w:val="auto"/>
          <w:sz w:val="21"/>
          <w:szCs w:val="21"/>
          <w:highlight w:val="none"/>
        </w:rPr>
        <w:t xml:space="preserve"> </w:t>
      </w:r>
    </w:p>
    <w:p>
      <w:pPr>
        <w:pStyle w:val="11"/>
        <w:snapToGrid w:val="0"/>
        <w:spacing w:line="360" w:lineRule="auto"/>
        <w:rPr>
          <w:rFonts w:hint="eastAsia" w:hAnsi="宋体"/>
          <w:color w:val="auto"/>
          <w:sz w:val="21"/>
          <w:szCs w:val="21"/>
          <w:highlight w:val="none"/>
        </w:rPr>
      </w:pPr>
      <w:r>
        <w:rPr>
          <w:rFonts w:hint="eastAsia" w:hAnsi="宋体"/>
          <w:color w:val="auto"/>
          <w:sz w:val="21"/>
          <w:szCs w:val="21"/>
          <w:highlight w:val="none"/>
        </w:rPr>
        <w:t>乙方（</w:t>
      </w:r>
      <w:r>
        <w:rPr>
          <w:rFonts w:hint="eastAsia" w:hAnsi="宋体"/>
          <w:color w:val="auto"/>
          <w:sz w:val="21"/>
          <w:szCs w:val="21"/>
          <w:highlight w:val="none"/>
          <w:lang w:eastAsia="zh-CN"/>
        </w:rPr>
        <w:t>投标人</w:t>
      </w:r>
      <w:r>
        <w:rPr>
          <w:rFonts w:hint="eastAsia" w:hAnsi="宋体"/>
          <w:color w:val="auto"/>
          <w:sz w:val="21"/>
          <w:szCs w:val="21"/>
          <w:highlight w:val="none"/>
        </w:rPr>
        <w:t xml:space="preserve">/卖方）：              </w:t>
      </w:r>
    </w:p>
    <w:p>
      <w:pPr>
        <w:pStyle w:val="11"/>
        <w:snapToGrid w:val="0"/>
        <w:spacing w:line="360" w:lineRule="auto"/>
        <w:rPr>
          <w:rFonts w:hint="eastAsia" w:hAnsi="宋体" w:eastAsia="宋体"/>
          <w:color w:val="auto"/>
          <w:sz w:val="21"/>
          <w:szCs w:val="21"/>
          <w:highlight w:val="none"/>
          <w:lang w:eastAsia="zh-CN"/>
        </w:rPr>
      </w:pPr>
      <w:r>
        <w:rPr>
          <w:rFonts w:hint="eastAsia" w:hAnsi="宋体"/>
          <w:color w:val="auto"/>
          <w:sz w:val="21"/>
          <w:szCs w:val="21"/>
          <w:highlight w:val="none"/>
        </w:rPr>
        <w:t>见证方：</w:t>
      </w:r>
      <w:r>
        <w:rPr>
          <w:rFonts w:hint="eastAsia" w:hAnsi="宋体"/>
          <w:color w:val="auto"/>
          <w:sz w:val="21"/>
          <w:szCs w:val="21"/>
          <w:highlight w:val="none"/>
          <w:lang w:eastAsia="zh-CN"/>
        </w:rPr>
        <w:t>扬州筑苑工程招标咨询有限公司</w:t>
      </w:r>
    </w:p>
    <w:p>
      <w:pPr>
        <w:pStyle w:val="11"/>
        <w:snapToGrid w:val="0"/>
        <w:spacing w:before="120" w:after="120" w:line="360" w:lineRule="auto"/>
        <w:ind w:firstLine="420" w:firstLineChars="200"/>
        <w:rPr>
          <w:rFonts w:hAnsi="宋体"/>
          <w:color w:val="auto"/>
          <w:sz w:val="21"/>
          <w:highlight w:val="none"/>
        </w:rPr>
      </w:pPr>
      <w:r>
        <w:rPr>
          <w:rFonts w:hint="eastAsia" w:hAnsi="宋体"/>
          <w:color w:val="auto"/>
          <w:sz w:val="21"/>
          <w:highlight w:val="none"/>
        </w:rPr>
        <w:t>根据《中华人民共和国政府采购法》、《中华人民共和国民法典》等法律法规的规定，甲乙双方按照</w:t>
      </w:r>
      <w:r>
        <w:rPr>
          <w:rFonts w:hint="eastAsia" w:hAnsi="宋体"/>
          <w:color w:val="auto"/>
          <w:sz w:val="21"/>
          <w:highlight w:val="none"/>
          <w:lang w:eastAsia="zh-CN"/>
        </w:rPr>
        <w:t>扬州筑苑工程招标咨询有限公司</w:t>
      </w:r>
      <w:r>
        <w:rPr>
          <w:rFonts w:hint="eastAsia" w:hAnsi="宋体"/>
          <w:color w:val="auto"/>
          <w:sz w:val="21"/>
          <w:highlight w:val="none"/>
        </w:rPr>
        <w:t>关于本项目磋商结果签订本合同。</w:t>
      </w:r>
    </w:p>
    <w:p>
      <w:pPr>
        <w:pStyle w:val="11"/>
        <w:snapToGrid w:val="0"/>
        <w:spacing w:before="120" w:after="120" w:line="360" w:lineRule="auto"/>
        <w:ind w:firstLine="422" w:firstLineChars="200"/>
        <w:rPr>
          <w:rFonts w:hAnsi="宋体"/>
          <w:b/>
          <w:bCs/>
          <w:color w:val="auto"/>
          <w:sz w:val="21"/>
          <w:highlight w:val="none"/>
        </w:rPr>
      </w:pPr>
      <w:r>
        <w:rPr>
          <w:rFonts w:hint="eastAsia" w:hAnsi="宋体"/>
          <w:b/>
          <w:bCs/>
          <w:color w:val="auto"/>
          <w:sz w:val="21"/>
          <w:highlight w:val="none"/>
        </w:rPr>
        <w:t>1、合同标的</w:t>
      </w:r>
    </w:p>
    <w:p>
      <w:pPr>
        <w:pStyle w:val="11"/>
        <w:snapToGrid w:val="0"/>
        <w:spacing w:before="120" w:after="120" w:line="360" w:lineRule="auto"/>
        <w:ind w:firstLine="420" w:firstLineChars="200"/>
        <w:rPr>
          <w:rFonts w:hAnsi="宋体"/>
          <w:color w:val="auto"/>
          <w:sz w:val="21"/>
          <w:highlight w:val="none"/>
        </w:rPr>
      </w:pPr>
      <w:r>
        <w:rPr>
          <w:rFonts w:hint="eastAsia" w:hAnsi="宋体"/>
          <w:color w:val="auto"/>
          <w:sz w:val="21"/>
          <w:highlight w:val="none"/>
        </w:rPr>
        <w:t>乙方根据甲方需求，提供下列服务：</w:t>
      </w:r>
      <w:r>
        <w:rPr>
          <w:rFonts w:hint="eastAsia" w:hAnsi="宋体"/>
          <w:color w:val="auto"/>
          <w:sz w:val="21"/>
          <w:highlight w:val="none"/>
          <w:u w:val="single"/>
        </w:rPr>
        <w:t xml:space="preserve">                      </w:t>
      </w:r>
      <w:r>
        <w:rPr>
          <w:rFonts w:hint="eastAsia" w:hAnsi="宋体"/>
          <w:color w:val="auto"/>
          <w:sz w:val="21"/>
          <w:highlight w:val="none"/>
        </w:rPr>
        <w:t>。</w:t>
      </w:r>
    </w:p>
    <w:p>
      <w:pPr>
        <w:pStyle w:val="11"/>
        <w:snapToGrid w:val="0"/>
        <w:spacing w:before="120" w:after="120" w:line="360" w:lineRule="auto"/>
        <w:ind w:firstLine="420" w:firstLineChars="200"/>
        <w:rPr>
          <w:rFonts w:hAnsi="宋体"/>
          <w:b/>
          <w:color w:val="auto"/>
          <w:sz w:val="21"/>
          <w:highlight w:val="none"/>
        </w:rPr>
      </w:pPr>
      <w:r>
        <w:rPr>
          <w:rFonts w:hint="eastAsia" w:hAnsi="宋体"/>
          <w:color w:val="auto"/>
          <w:sz w:val="21"/>
          <w:highlight w:val="none"/>
        </w:rPr>
        <w:t>服务内容等要求详见磋商文件及乙方响应文件。</w:t>
      </w:r>
    </w:p>
    <w:p>
      <w:pPr>
        <w:pStyle w:val="11"/>
        <w:snapToGrid w:val="0"/>
        <w:spacing w:before="120" w:after="120" w:line="360" w:lineRule="auto"/>
        <w:ind w:firstLine="422" w:firstLineChars="200"/>
        <w:rPr>
          <w:rFonts w:hAnsi="宋体"/>
          <w:b/>
          <w:bCs/>
          <w:color w:val="auto"/>
          <w:sz w:val="21"/>
          <w:highlight w:val="none"/>
        </w:rPr>
      </w:pPr>
      <w:r>
        <w:rPr>
          <w:rFonts w:hint="eastAsia" w:hAnsi="宋体"/>
          <w:b/>
          <w:bCs/>
          <w:color w:val="auto"/>
          <w:sz w:val="21"/>
          <w:highlight w:val="none"/>
        </w:rPr>
        <w:t>2、合同总金额</w:t>
      </w:r>
    </w:p>
    <w:p>
      <w:pPr>
        <w:pStyle w:val="11"/>
        <w:snapToGrid w:val="0"/>
        <w:spacing w:before="120" w:after="120" w:line="360" w:lineRule="auto"/>
        <w:ind w:left="315" w:leftChars="150" w:firstLine="105" w:firstLineChars="50"/>
        <w:rPr>
          <w:rFonts w:hint="eastAsia" w:hAnsi="宋体"/>
          <w:color w:val="auto"/>
          <w:sz w:val="21"/>
          <w:highlight w:val="none"/>
        </w:rPr>
      </w:pPr>
      <w:r>
        <w:rPr>
          <w:rFonts w:hint="eastAsia" w:hAnsi="宋体"/>
          <w:color w:val="auto"/>
          <w:sz w:val="21"/>
          <w:highlight w:val="none"/>
        </w:rPr>
        <w:t>2.1 本合同金额为（大写）：_______________________________元人民币（¥_____元）。</w:t>
      </w:r>
    </w:p>
    <w:p>
      <w:pPr>
        <w:pStyle w:val="11"/>
        <w:snapToGrid w:val="0"/>
        <w:spacing w:before="120" w:after="120" w:line="360" w:lineRule="auto"/>
        <w:ind w:firstLine="420" w:firstLineChars="200"/>
        <w:rPr>
          <w:rFonts w:hint="eastAsia" w:hAnsi="宋体"/>
          <w:color w:val="auto"/>
          <w:sz w:val="21"/>
          <w:highlight w:val="none"/>
        </w:rPr>
      </w:pPr>
      <w:r>
        <w:rPr>
          <w:rFonts w:hint="eastAsia" w:hAnsi="宋体"/>
          <w:color w:val="auto"/>
          <w:sz w:val="21"/>
          <w:highlight w:val="none"/>
        </w:rPr>
        <w:t>2.2 本合同总金额包括乙方提供的服务及其他有关的为完成本项目发生的所有费用，竞争性磋商文件中另有规定的除外。</w:t>
      </w:r>
    </w:p>
    <w:p>
      <w:pPr>
        <w:pStyle w:val="11"/>
        <w:snapToGrid w:val="0"/>
        <w:spacing w:before="120" w:after="120" w:line="360" w:lineRule="auto"/>
        <w:ind w:firstLine="420" w:firstLineChars="200"/>
        <w:rPr>
          <w:rFonts w:hint="eastAsia" w:hAnsi="宋体"/>
          <w:color w:val="auto"/>
          <w:sz w:val="21"/>
          <w:highlight w:val="none"/>
        </w:rPr>
      </w:pPr>
      <w:r>
        <w:rPr>
          <w:rFonts w:hint="eastAsia" w:hAnsi="宋体"/>
          <w:color w:val="auto"/>
          <w:sz w:val="21"/>
          <w:highlight w:val="none"/>
        </w:rPr>
        <w:t>2.3 在竞争性磋商文件未列明，而乙方认为履行本合同必需的费用也包含在合同总金额中。</w:t>
      </w:r>
    </w:p>
    <w:p>
      <w:pPr>
        <w:pStyle w:val="11"/>
        <w:snapToGrid w:val="0"/>
        <w:spacing w:before="120" w:after="120" w:line="360" w:lineRule="auto"/>
        <w:ind w:firstLine="420" w:firstLineChars="200"/>
        <w:rPr>
          <w:rFonts w:hint="eastAsia" w:hAnsi="宋体"/>
          <w:color w:val="auto"/>
          <w:sz w:val="21"/>
          <w:highlight w:val="none"/>
        </w:rPr>
      </w:pPr>
      <w:r>
        <w:rPr>
          <w:rFonts w:hint="eastAsia" w:hAnsi="宋体"/>
          <w:color w:val="auto"/>
          <w:sz w:val="21"/>
          <w:highlight w:val="none"/>
        </w:rPr>
        <w:t>2.4 本合同总金额还包含乙方提供的伴随服务/售后服务费用。</w:t>
      </w:r>
    </w:p>
    <w:p>
      <w:pPr>
        <w:pStyle w:val="11"/>
        <w:snapToGrid w:val="0"/>
        <w:spacing w:before="120" w:after="120" w:line="360" w:lineRule="auto"/>
        <w:ind w:firstLine="420" w:firstLineChars="200"/>
        <w:rPr>
          <w:rFonts w:hint="eastAsia" w:hAnsi="宋体"/>
          <w:color w:val="auto"/>
          <w:sz w:val="21"/>
          <w:highlight w:val="none"/>
        </w:rPr>
      </w:pPr>
      <w:r>
        <w:rPr>
          <w:rFonts w:hint="eastAsia" w:hAnsi="宋体"/>
          <w:color w:val="auto"/>
          <w:sz w:val="21"/>
          <w:highlight w:val="none"/>
        </w:rPr>
        <w:t>2.5 本合同签订后：甲方需追加与合同标的相同的服务，在不改变合同其他条款的前提下，可以与乙方协商签订补充合同，但所有补充合同的增加的金额不超过原合同金额的10%；甲方若由于各种客观原因，必须对采购项目所牵涉的服务进行适当的减少时，在与乙方协商一致后，可以按照竞争性磋商采购时的价格水平做相应的调减，并据此签订补充合同。除上述情况外，本合同执行期间合同总金额不变。</w:t>
      </w:r>
    </w:p>
    <w:p>
      <w:pPr>
        <w:pStyle w:val="11"/>
        <w:snapToGrid w:val="0"/>
        <w:spacing w:before="120" w:after="120" w:line="360" w:lineRule="auto"/>
        <w:ind w:firstLine="422" w:firstLineChars="200"/>
        <w:rPr>
          <w:rFonts w:hAnsi="宋体"/>
          <w:b/>
          <w:bCs/>
          <w:color w:val="auto"/>
          <w:sz w:val="21"/>
          <w:highlight w:val="none"/>
        </w:rPr>
      </w:pPr>
      <w:r>
        <w:rPr>
          <w:rFonts w:hint="eastAsia" w:hAnsi="宋体"/>
          <w:b/>
          <w:bCs/>
          <w:color w:val="auto"/>
          <w:sz w:val="21"/>
          <w:highlight w:val="none"/>
        </w:rPr>
        <w:t>3、组成本合同的有关文件</w:t>
      </w:r>
    </w:p>
    <w:p>
      <w:pPr>
        <w:pStyle w:val="11"/>
        <w:snapToGrid w:val="0"/>
        <w:spacing w:before="120" w:after="120" w:line="360" w:lineRule="auto"/>
        <w:ind w:left="315" w:leftChars="150" w:firstLine="105" w:firstLineChars="50"/>
        <w:rPr>
          <w:rFonts w:hAnsi="宋体"/>
          <w:color w:val="auto"/>
          <w:sz w:val="21"/>
          <w:highlight w:val="none"/>
        </w:rPr>
      </w:pPr>
      <w:r>
        <w:rPr>
          <w:rFonts w:hint="eastAsia" w:hAnsi="宋体"/>
          <w:color w:val="auto"/>
          <w:sz w:val="21"/>
          <w:highlight w:val="none"/>
        </w:rPr>
        <w:t>3.1乙方应按磋商文件规定的时间向甲方提供服务的有关技术资料。</w:t>
      </w:r>
    </w:p>
    <w:p>
      <w:pPr>
        <w:pStyle w:val="11"/>
        <w:snapToGrid w:val="0"/>
        <w:spacing w:before="120" w:after="120" w:line="360" w:lineRule="auto"/>
        <w:ind w:firstLine="420" w:firstLineChars="200"/>
        <w:rPr>
          <w:rFonts w:hAnsi="宋体"/>
          <w:color w:val="auto"/>
          <w:sz w:val="21"/>
          <w:highlight w:val="none"/>
        </w:rPr>
      </w:pPr>
      <w:r>
        <w:rPr>
          <w:rFonts w:hint="eastAsia" w:hAnsi="宋体"/>
          <w:color w:val="auto"/>
          <w:sz w:val="21"/>
          <w:highlight w:val="none"/>
        </w:rPr>
        <w:t>3.2 没有甲方事先书面同意，乙方不得将由甲方提供的有关合同或任何合同条文或资料提供给任何其他人。即使向履行本合同有关的人员提供，也应注意保密并限于履行合同的必需范围。</w:t>
      </w:r>
    </w:p>
    <w:p>
      <w:pPr>
        <w:pStyle w:val="11"/>
        <w:snapToGrid w:val="0"/>
        <w:spacing w:before="120" w:after="120" w:line="360" w:lineRule="auto"/>
        <w:ind w:firstLine="420" w:firstLineChars="200"/>
        <w:rPr>
          <w:rFonts w:hAnsi="宋体"/>
          <w:color w:val="auto"/>
          <w:sz w:val="21"/>
          <w:highlight w:val="none"/>
        </w:rPr>
      </w:pPr>
      <w:r>
        <w:rPr>
          <w:rFonts w:hint="eastAsia" w:hAnsi="宋体"/>
          <w:color w:val="auto"/>
          <w:sz w:val="21"/>
          <w:highlight w:val="none"/>
        </w:rPr>
        <w:t>3.3 关于本项目政府采购的磋商文件、磋商响应文件或与本次采购活动方式相适应的文件及有关附件是本合同不可分割的组成部分，这些文件包括但不限于：</w:t>
      </w:r>
    </w:p>
    <w:p>
      <w:pPr>
        <w:pStyle w:val="11"/>
        <w:snapToGrid w:val="0"/>
        <w:spacing w:before="120" w:after="120" w:line="360" w:lineRule="auto"/>
        <w:ind w:left="359" w:hanging="359" w:hangingChars="171"/>
        <w:rPr>
          <w:rFonts w:hAnsi="宋体"/>
          <w:color w:val="auto"/>
          <w:sz w:val="21"/>
          <w:highlight w:val="none"/>
        </w:rPr>
      </w:pPr>
      <w:r>
        <w:rPr>
          <w:rFonts w:hint="eastAsia" w:hAnsi="宋体"/>
          <w:color w:val="auto"/>
          <w:sz w:val="21"/>
          <w:highlight w:val="none"/>
        </w:rPr>
        <w:t xml:space="preserve">   （1）磋商响应文件；               （2）磋商报价文件；</w:t>
      </w:r>
    </w:p>
    <w:p>
      <w:pPr>
        <w:pStyle w:val="11"/>
        <w:snapToGrid w:val="0"/>
        <w:spacing w:before="120" w:after="120" w:line="360" w:lineRule="auto"/>
        <w:ind w:left="359" w:hanging="359" w:hangingChars="171"/>
        <w:rPr>
          <w:rFonts w:hAnsi="宋体"/>
          <w:color w:val="auto"/>
          <w:sz w:val="21"/>
          <w:highlight w:val="none"/>
        </w:rPr>
      </w:pPr>
      <w:r>
        <w:rPr>
          <w:rFonts w:hint="eastAsia" w:hAnsi="宋体"/>
          <w:color w:val="auto"/>
          <w:sz w:val="21"/>
          <w:highlight w:val="none"/>
        </w:rPr>
        <w:t xml:space="preserve">   （3）项目组人员表                 （4）技术参数、商务条款响应及偏离表；</w:t>
      </w:r>
    </w:p>
    <w:p>
      <w:pPr>
        <w:pStyle w:val="11"/>
        <w:snapToGrid w:val="0"/>
        <w:spacing w:before="120" w:after="120" w:line="360" w:lineRule="auto"/>
        <w:ind w:left="359" w:hanging="359" w:hangingChars="171"/>
        <w:rPr>
          <w:rFonts w:hAnsi="宋体"/>
          <w:color w:val="auto"/>
          <w:sz w:val="21"/>
          <w:highlight w:val="none"/>
        </w:rPr>
      </w:pPr>
      <w:r>
        <w:rPr>
          <w:rFonts w:hint="eastAsia" w:hAnsi="宋体"/>
          <w:color w:val="auto"/>
          <w:sz w:val="21"/>
          <w:highlight w:val="none"/>
        </w:rPr>
        <w:t xml:space="preserve">   （5）服务承诺；                   （6）成交通知书；</w:t>
      </w:r>
    </w:p>
    <w:p>
      <w:pPr>
        <w:pStyle w:val="11"/>
        <w:snapToGrid w:val="0"/>
        <w:spacing w:before="120" w:after="120" w:line="360" w:lineRule="auto"/>
        <w:ind w:left="359" w:hanging="359" w:hangingChars="171"/>
        <w:rPr>
          <w:rFonts w:hAnsi="宋体"/>
          <w:color w:val="auto"/>
          <w:sz w:val="21"/>
          <w:highlight w:val="none"/>
        </w:rPr>
      </w:pPr>
      <w:r>
        <w:rPr>
          <w:rFonts w:hint="eastAsia" w:hAnsi="宋体"/>
          <w:color w:val="auto"/>
          <w:sz w:val="21"/>
          <w:highlight w:val="none"/>
        </w:rPr>
        <w:t xml:space="preserve">   （7）甲乙双方补充协议；           （8）乙方磋商时提供的响应文件。</w:t>
      </w:r>
    </w:p>
    <w:p>
      <w:pPr>
        <w:pStyle w:val="11"/>
        <w:snapToGrid w:val="0"/>
        <w:spacing w:before="120" w:after="120" w:line="360" w:lineRule="auto"/>
        <w:ind w:left="315" w:leftChars="150" w:firstLine="105" w:firstLineChars="50"/>
        <w:rPr>
          <w:rFonts w:hAnsi="宋体"/>
          <w:b/>
          <w:bCs/>
          <w:color w:val="auto"/>
          <w:sz w:val="21"/>
          <w:highlight w:val="none"/>
        </w:rPr>
      </w:pPr>
      <w:r>
        <w:rPr>
          <w:rFonts w:hint="eastAsia" w:hAnsi="宋体"/>
          <w:b/>
          <w:bCs/>
          <w:color w:val="auto"/>
          <w:sz w:val="21"/>
          <w:highlight w:val="none"/>
        </w:rPr>
        <w:t>4、知识产权保证</w:t>
      </w:r>
    </w:p>
    <w:p>
      <w:pPr>
        <w:autoSpaceDE w:val="0"/>
        <w:autoSpaceDN w:val="0"/>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乙方保证甲方在使用、接受本合同服务或其任何一部分时，不受第三方提出侵犯其专利权、版权、商标权和工业设计权等知识产权的起诉。一旦出现侵权，由乙方负全部责任。</w:t>
      </w:r>
    </w:p>
    <w:p>
      <w:pPr>
        <w:pStyle w:val="11"/>
        <w:snapToGrid w:val="0"/>
        <w:spacing w:before="120" w:after="120" w:line="360" w:lineRule="auto"/>
        <w:ind w:firstLine="422" w:firstLineChars="200"/>
        <w:rPr>
          <w:rFonts w:hAnsi="宋体"/>
          <w:b/>
          <w:bCs/>
          <w:color w:val="auto"/>
          <w:sz w:val="21"/>
          <w:highlight w:val="none"/>
        </w:rPr>
      </w:pPr>
      <w:r>
        <w:rPr>
          <w:rFonts w:hint="eastAsia" w:hAnsi="宋体"/>
          <w:b/>
          <w:bCs/>
          <w:color w:val="auto"/>
          <w:sz w:val="21"/>
          <w:highlight w:val="none"/>
        </w:rPr>
        <w:t>5、产权保证</w:t>
      </w:r>
    </w:p>
    <w:p>
      <w:pPr>
        <w:autoSpaceDE w:val="0"/>
        <w:autoSpaceDN w:val="0"/>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乙方保证所交付的服务和服务所涉及的物品所有权无任何抵押、查封等权利瑕疵。</w:t>
      </w:r>
    </w:p>
    <w:p>
      <w:pPr>
        <w:pStyle w:val="11"/>
        <w:snapToGrid w:val="0"/>
        <w:spacing w:before="120" w:after="120" w:line="360" w:lineRule="auto"/>
        <w:ind w:left="315" w:leftChars="150" w:firstLine="105" w:firstLineChars="50"/>
        <w:rPr>
          <w:rFonts w:hAnsi="宋体"/>
          <w:b/>
          <w:bCs/>
          <w:color w:val="auto"/>
          <w:sz w:val="21"/>
          <w:highlight w:val="none"/>
        </w:rPr>
      </w:pPr>
      <w:r>
        <w:rPr>
          <w:rFonts w:hint="eastAsia" w:hAnsi="宋体"/>
          <w:b/>
          <w:bCs/>
          <w:color w:val="auto"/>
          <w:sz w:val="21"/>
          <w:highlight w:val="none"/>
        </w:rPr>
        <w:t>6、保证金</w:t>
      </w:r>
    </w:p>
    <w:p>
      <w:pPr>
        <w:pStyle w:val="11"/>
        <w:snapToGrid w:val="0"/>
        <w:spacing w:before="120" w:after="120" w:line="360" w:lineRule="auto"/>
        <w:ind w:left="315" w:leftChars="150" w:firstLine="105" w:firstLineChars="50"/>
        <w:rPr>
          <w:rFonts w:hint="eastAsia" w:hAnsi="宋体" w:cs="宋体"/>
          <w:color w:val="auto"/>
          <w:kern w:val="2"/>
          <w:sz w:val="21"/>
          <w:highlight w:val="none"/>
        </w:rPr>
      </w:pPr>
      <w:r>
        <w:rPr>
          <w:rFonts w:hint="eastAsia" w:hAnsi="宋体" w:cs="宋体"/>
          <w:color w:val="auto"/>
          <w:kern w:val="2"/>
          <w:sz w:val="21"/>
          <w:highlight w:val="none"/>
        </w:rPr>
        <w:t>无</w:t>
      </w:r>
    </w:p>
    <w:p>
      <w:pPr>
        <w:pStyle w:val="11"/>
        <w:snapToGrid w:val="0"/>
        <w:spacing w:before="120" w:after="120" w:line="360" w:lineRule="auto"/>
        <w:ind w:left="315" w:leftChars="150" w:firstLine="105" w:firstLineChars="50"/>
        <w:rPr>
          <w:rFonts w:hAnsi="宋体"/>
          <w:b/>
          <w:bCs/>
          <w:color w:val="auto"/>
          <w:sz w:val="21"/>
          <w:highlight w:val="none"/>
        </w:rPr>
      </w:pPr>
      <w:r>
        <w:rPr>
          <w:rFonts w:hint="eastAsia" w:hAnsi="宋体"/>
          <w:b/>
          <w:bCs/>
          <w:color w:val="auto"/>
          <w:sz w:val="21"/>
          <w:highlight w:val="none"/>
        </w:rPr>
        <w:t>7、转包</w:t>
      </w:r>
    </w:p>
    <w:p>
      <w:pPr>
        <w:pStyle w:val="11"/>
        <w:snapToGrid w:val="0"/>
        <w:spacing w:before="120" w:after="120" w:line="360" w:lineRule="auto"/>
        <w:ind w:firstLine="420" w:firstLineChars="200"/>
        <w:rPr>
          <w:rFonts w:hint="eastAsia" w:hAnsi="宋体"/>
          <w:color w:val="auto"/>
          <w:sz w:val="21"/>
          <w:highlight w:val="none"/>
        </w:rPr>
      </w:pPr>
      <w:r>
        <w:rPr>
          <w:rFonts w:hint="eastAsia" w:hAnsi="宋体"/>
          <w:color w:val="auto"/>
          <w:sz w:val="21"/>
          <w:highlight w:val="none"/>
        </w:rPr>
        <w:t>7.1 本合同禁止转包，本合同范围的服务，应由乙方直接提供的，不得转让给他人提供。</w:t>
      </w:r>
    </w:p>
    <w:p>
      <w:pPr>
        <w:pStyle w:val="11"/>
        <w:snapToGrid w:val="0"/>
        <w:spacing w:before="120" w:after="120" w:line="360" w:lineRule="auto"/>
        <w:ind w:left="315" w:leftChars="150" w:firstLine="105" w:firstLineChars="50"/>
        <w:rPr>
          <w:rFonts w:hAnsi="宋体"/>
          <w:b/>
          <w:bCs/>
          <w:color w:val="auto"/>
          <w:sz w:val="21"/>
          <w:highlight w:val="none"/>
        </w:rPr>
      </w:pPr>
      <w:r>
        <w:rPr>
          <w:rFonts w:hint="eastAsia" w:hAnsi="宋体"/>
          <w:b/>
          <w:bCs/>
          <w:color w:val="auto"/>
          <w:sz w:val="21"/>
          <w:highlight w:val="none"/>
        </w:rPr>
        <w:t>8、服务期</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w:t>
      </w:r>
      <w:r>
        <w:rPr>
          <w:rFonts w:hint="eastAsia" w:hAnsi="宋体" w:cs="宋体"/>
          <w:color w:val="auto"/>
          <w:highlight w:val="none"/>
        </w:rPr>
        <w:t>服务期：</w:t>
      </w:r>
      <w:r>
        <w:rPr>
          <w:rFonts w:hint="eastAsia"/>
          <w:color w:val="auto"/>
          <w:sz w:val="21"/>
          <w:szCs w:val="21"/>
          <w:highlight w:val="none"/>
          <w:lang w:val="en-US" w:eastAsia="zh-CN"/>
        </w:rPr>
        <w:t>合同签订后</w:t>
      </w:r>
      <w:r>
        <w:rPr>
          <w:rFonts w:hint="default"/>
          <w:color w:val="auto"/>
          <w:sz w:val="21"/>
          <w:szCs w:val="21"/>
          <w:highlight w:val="none"/>
          <w:lang w:eastAsia="zh-CN"/>
        </w:rPr>
        <w:t>10</w:t>
      </w:r>
      <w:r>
        <w:rPr>
          <w:rFonts w:hint="eastAsia"/>
          <w:color w:val="auto"/>
          <w:sz w:val="21"/>
          <w:szCs w:val="21"/>
          <w:highlight w:val="none"/>
          <w:lang w:val="en-US" w:eastAsia="zh-CN"/>
        </w:rPr>
        <w:t>日历天内完成</w:t>
      </w:r>
      <w:r>
        <w:rPr>
          <w:rFonts w:hint="eastAsia"/>
          <w:color w:val="auto"/>
          <w:sz w:val="21"/>
          <w:szCs w:val="21"/>
          <w:highlight w:val="none"/>
        </w:rPr>
        <w:t>。</w:t>
      </w:r>
    </w:p>
    <w:p>
      <w:pPr>
        <w:pStyle w:val="11"/>
        <w:snapToGrid w:val="0"/>
        <w:spacing w:before="120" w:after="120" w:line="360" w:lineRule="auto"/>
        <w:ind w:left="315" w:leftChars="150" w:firstLine="105" w:firstLineChars="50"/>
        <w:rPr>
          <w:rFonts w:hAnsi="宋体"/>
          <w:b/>
          <w:bCs/>
          <w:color w:val="auto"/>
          <w:sz w:val="21"/>
          <w:highlight w:val="none"/>
        </w:rPr>
      </w:pPr>
      <w:r>
        <w:rPr>
          <w:rFonts w:hint="eastAsia" w:hAnsi="宋体"/>
          <w:b/>
          <w:bCs/>
          <w:color w:val="auto"/>
          <w:sz w:val="21"/>
          <w:highlight w:val="none"/>
        </w:rPr>
        <w:t>9、货款支付</w:t>
      </w:r>
    </w:p>
    <w:p>
      <w:pPr>
        <w:autoSpaceDE w:val="0"/>
        <w:autoSpaceDN w:val="0"/>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 xml:space="preserve">.1 </w:t>
      </w:r>
      <w:r>
        <w:rPr>
          <w:rFonts w:hint="eastAsia" w:ascii="宋体" w:hAnsi="宋体" w:cs="宋体"/>
          <w:color w:val="auto"/>
          <w:szCs w:val="21"/>
          <w:highlight w:val="none"/>
        </w:rPr>
        <w:t xml:space="preserve">本合同项下所有款项均以人民币支付。 </w:t>
      </w:r>
    </w:p>
    <w:p>
      <w:pPr>
        <w:autoSpaceDE w:val="0"/>
        <w:autoSpaceDN w:val="0"/>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9.2 本合同项下的采购资金由甲方支付，付款前乙方向甲方开具发票。</w:t>
      </w:r>
    </w:p>
    <w:p>
      <w:pPr>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9.3 支付方式：</w:t>
      </w:r>
    </w:p>
    <w:p>
      <w:pPr>
        <w:pStyle w:val="11"/>
        <w:keepNext w:val="0"/>
        <w:keepLines w:val="0"/>
        <w:pageBreakBefore w:val="0"/>
        <w:widowControl w:val="0"/>
        <w:kinsoku/>
        <w:wordWrap/>
        <w:overflowPunct/>
        <w:topLinePunct w:val="0"/>
        <w:bidi w:val="0"/>
        <w:adjustRightInd/>
        <w:snapToGrid w:val="0"/>
        <w:spacing w:before="120" w:after="120"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调试、验收合格后一次性付清,质保期从验收合格后开始计算。付款前，成交单位需缴纳成交额的5%作为质保金，验收合格且无质量问题一年后全额无息退还质保金。</w:t>
      </w:r>
      <w:r>
        <w:rPr>
          <w:rFonts w:hint="eastAsia" w:ascii="宋体" w:hAnsi="宋体" w:eastAsia="宋体" w:cs="宋体"/>
          <w:color w:val="auto"/>
          <w:szCs w:val="21"/>
          <w:highlight w:val="none"/>
          <w:lang w:val="en-US" w:eastAsia="zh-CN"/>
        </w:rPr>
        <w:t xml:space="preserve"> </w:t>
      </w:r>
    </w:p>
    <w:p>
      <w:pPr>
        <w:pStyle w:val="11"/>
        <w:snapToGrid w:val="0"/>
        <w:spacing w:before="120" w:after="120" w:line="360" w:lineRule="auto"/>
        <w:ind w:left="315" w:leftChars="150" w:firstLine="105" w:firstLineChars="50"/>
        <w:rPr>
          <w:rFonts w:hAnsi="宋体"/>
          <w:b/>
          <w:bCs/>
          <w:color w:val="auto"/>
          <w:sz w:val="21"/>
          <w:highlight w:val="none"/>
        </w:rPr>
      </w:pPr>
      <w:r>
        <w:rPr>
          <w:rFonts w:hint="eastAsia" w:hAnsi="宋体"/>
          <w:b/>
          <w:bCs/>
          <w:color w:val="auto"/>
          <w:sz w:val="21"/>
          <w:highlight w:val="none"/>
        </w:rPr>
        <w:t>10、税费</w:t>
      </w:r>
    </w:p>
    <w:p>
      <w:pPr>
        <w:pStyle w:val="11"/>
        <w:snapToGrid w:val="0"/>
        <w:spacing w:before="120" w:after="120" w:line="360" w:lineRule="auto"/>
        <w:ind w:firstLine="420" w:firstLineChars="200"/>
        <w:rPr>
          <w:rFonts w:hAnsi="宋体"/>
          <w:b/>
          <w:bCs/>
          <w:color w:val="auto"/>
          <w:sz w:val="21"/>
          <w:highlight w:val="none"/>
        </w:rPr>
      </w:pPr>
      <w:r>
        <w:rPr>
          <w:rFonts w:hint="eastAsia" w:hAnsi="宋体" w:cs="宋体"/>
          <w:color w:val="auto"/>
          <w:sz w:val="21"/>
          <w:highlight w:val="none"/>
        </w:rPr>
        <w:t>本合同执行中相关的一切税费均由乙方负担。</w:t>
      </w:r>
    </w:p>
    <w:p>
      <w:pPr>
        <w:pStyle w:val="11"/>
        <w:snapToGrid w:val="0"/>
        <w:spacing w:before="120" w:after="120" w:line="360" w:lineRule="auto"/>
        <w:ind w:left="315" w:leftChars="150" w:firstLine="105" w:firstLineChars="50"/>
        <w:rPr>
          <w:rFonts w:hAnsi="宋体"/>
          <w:b/>
          <w:bCs/>
          <w:color w:val="auto"/>
          <w:sz w:val="21"/>
          <w:highlight w:val="none"/>
        </w:rPr>
      </w:pPr>
      <w:r>
        <w:rPr>
          <w:rFonts w:hint="eastAsia" w:hAnsi="宋体"/>
          <w:b/>
          <w:bCs/>
          <w:color w:val="auto"/>
          <w:sz w:val="21"/>
          <w:highlight w:val="none"/>
        </w:rPr>
        <w:t>11、质量保证及售后服务</w:t>
      </w:r>
    </w:p>
    <w:p>
      <w:pPr>
        <w:spacing w:before="156" w:beforeLines="50" w:after="156" w:afterLines="50"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11.1 乙方应按磋商文件规定及响应文件承诺的技术性能、技术要求、质量标准向甲方提供服务；若无特殊说明，则按国家有关部门最新颁布的标准及规范为准。</w:t>
      </w:r>
    </w:p>
    <w:p>
      <w:pPr>
        <w:spacing w:before="156" w:beforeLines="50" w:after="156" w:afterLines="50"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11.2乙方应保证其提供的服务是全面和规范的，并完全符合磋商及响应文件。如因乙方提供的服务有瑕疵造成甲方损失的，所需费用由乙方承担。</w:t>
      </w:r>
    </w:p>
    <w:p>
      <w:pPr>
        <w:spacing w:before="156" w:beforeLines="50" w:after="156" w:after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服务过程中，乙方应对所提供服务出现的质量及安全问题负责处理解决并承担一切费用。</w:t>
      </w:r>
    </w:p>
    <w:p>
      <w:pPr>
        <w:autoSpaceDE w:val="0"/>
        <w:autoSpaceDN w:val="0"/>
        <w:spacing w:line="360" w:lineRule="auto"/>
        <w:ind w:firstLine="420" w:firstLineChars="200"/>
        <w:rPr>
          <w:rFonts w:hint="default" w:eastAsia="宋体"/>
          <w:color w:val="auto"/>
          <w:highlight w:val="none"/>
          <w:lang w:val="en-US" w:eastAsia="zh-CN"/>
        </w:rPr>
      </w:pPr>
      <w:r>
        <w:rPr>
          <w:rFonts w:hint="eastAsia" w:ascii="宋体" w:hAnsi="宋体" w:cs="宋体"/>
          <w:color w:val="auto"/>
          <w:szCs w:val="21"/>
          <w:highlight w:val="none"/>
          <w:lang w:val="en-US" w:eastAsia="zh-CN"/>
        </w:rPr>
        <w:t>11.4 质保期一年，</w:t>
      </w:r>
      <w:r>
        <w:rPr>
          <w:rFonts w:hint="eastAsia" w:ascii="宋体" w:hAnsi="宋体" w:eastAsia="宋体" w:cs="宋体"/>
          <w:color w:val="auto"/>
          <w:szCs w:val="21"/>
          <w:highlight w:val="none"/>
          <w:lang w:val="en-US" w:eastAsia="zh-CN"/>
        </w:rPr>
        <w:t>质保期从验收合格后开始计算。</w:t>
      </w:r>
    </w:p>
    <w:p>
      <w:pPr>
        <w:pStyle w:val="11"/>
        <w:snapToGrid w:val="0"/>
        <w:spacing w:before="120" w:after="120" w:line="360" w:lineRule="auto"/>
        <w:ind w:left="315" w:leftChars="150" w:firstLine="105" w:firstLineChars="50"/>
        <w:rPr>
          <w:rFonts w:hAnsi="宋体"/>
          <w:b/>
          <w:bCs/>
          <w:color w:val="auto"/>
          <w:sz w:val="21"/>
          <w:highlight w:val="none"/>
        </w:rPr>
      </w:pPr>
      <w:r>
        <w:rPr>
          <w:rFonts w:hint="eastAsia" w:hAnsi="宋体"/>
          <w:b/>
          <w:bCs/>
          <w:color w:val="auto"/>
          <w:sz w:val="21"/>
          <w:highlight w:val="none"/>
        </w:rPr>
        <w:t>12、交付和验收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12.1 乙方应当在合同签订后</w:t>
      </w:r>
      <w:r>
        <w:rPr>
          <w:rFonts w:hint="eastAsia" w:ascii="宋体" w:hAnsi="宋体"/>
          <w:color w:val="auto"/>
          <w:szCs w:val="21"/>
          <w:highlight w:val="none"/>
          <w:u w:val="single"/>
        </w:rPr>
        <w:t xml:space="preserve">     </w:t>
      </w:r>
      <w:r>
        <w:rPr>
          <w:rFonts w:hint="eastAsia" w:ascii="宋体" w:hAnsi="宋体"/>
          <w:color w:val="auto"/>
          <w:szCs w:val="21"/>
          <w:highlight w:val="none"/>
        </w:rPr>
        <w:t>天内完成服务事项，竞争性磋商文件有约定的，从其约定。</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在交付前，乙方应作出全面检查和对验收文件进行整理，并列出清单，作为甲方初验收和使用的技术条件依据，检验的结果交甲方。</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12.2 验收标准：按乙方磋商响应文件的承诺，并不低于国家相关标准。</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对于乙方要交付的服务，甲乙双方须在</w:t>
      </w:r>
      <w:r>
        <w:rPr>
          <w:rFonts w:hint="eastAsia" w:ascii="宋体" w:hAnsi="宋体"/>
          <w:color w:val="auto"/>
          <w:szCs w:val="21"/>
          <w:highlight w:val="none"/>
          <w:u w:val="single"/>
        </w:rPr>
        <w:t xml:space="preserve">    </w:t>
      </w:r>
      <w:r>
        <w:rPr>
          <w:rFonts w:hint="eastAsia" w:ascii="宋体" w:hAnsi="宋体"/>
          <w:color w:val="auto"/>
          <w:szCs w:val="21"/>
          <w:highlight w:val="none"/>
        </w:rPr>
        <w:t>工作日内初验收，甲方对乙方提交的服务依据竞争性磋商文件上的技术要求和国家有关质量标准进行现场初步验收，外观、说明书、包装符合竞争性磋商文件技术要求的，给予签收，初步验收不合格的不予签收。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12.3 乙方按照竞争性磋商文件要求负责安装并培训甲方的使用操作人员，乙方在甲方使用前进行调试，调试直到符合技术要求的甲方才做最终验收。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12.4 对技术复杂的服务内容，甲方可请国家认可的专业检测机构参与初步验收及最终验收，并由其出具质量检测报告。验收时乙方必须在现场，验收完毕后作出验收结果报告；若聘请第三方中立机构验收，验收费用由甲乙双方协商解决。</w:t>
      </w:r>
    </w:p>
    <w:p>
      <w:pPr>
        <w:pStyle w:val="11"/>
        <w:snapToGrid w:val="0"/>
        <w:spacing w:before="120" w:after="120" w:line="360" w:lineRule="auto"/>
        <w:ind w:left="315" w:leftChars="150" w:firstLine="105" w:firstLineChars="50"/>
        <w:rPr>
          <w:rFonts w:hint="eastAsia" w:hAnsi="宋体"/>
          <w:color w:val="auto"/>
          <w:highlight w:val="none"/>
        </w:rPr>
      </w:pPr>
      <w:r>
        <w:rPr>
          <w:rFonts w:hint="eastAsia" w:hAnsi="宋体"/>
          <w:color w:val="auto"/>
          <w:sz w:val="21"/>
          <w:highlight w:val="none"/>
        </w:rPr>
        <w:t>12.5 甲乙双方关于调试和验收的其他约定：</w:t>
      </w:r>
      <w:r>
        <w:rPr>
          <w:rFonts w:hint="eastAsia" w:hAnsi="宋体"/>
          <w:color w:val="auto"/>
          <w:sz w:val="21"/>
          <w:highlight w:val="none"/>
          <w:u w:val="single"/>
        </w:rPr>
        <w:t xml:space="preserve">                           </w:t>
      </w:r>
      <w:r>
        <w:rPr>
          <w:rFonts w:hint="eastAsia" w:hAnsi="宋体"/>
          <w:color w:val="auto"/>
          <w:sz w:val="21"/>
          <w:highlight w:val="none"/>
        </w:rPr>
        <w:t>。</w:t>
      </w:r>
    </w:p>
    <w:p>
      <w:pPr>
        <w:pStyle w:val="11"/>
        <w:snapToGrid w:val="0"/>
        <w:spacing w:before="120" w:after="120" w:line="360" w:lineRule="auto"/>
        <w:ind w:left="315" w:leftChars="150" w:firstLine="105" w:firstLineChars="50"/>
        <w:rPr>
          <w:rFonts w:hAnsi="宋体"/>
          <w:b/>
          <w:bCs/>
          <w:color w:val="auto"/>
          <w:sz w:val="21"/>
          <w:highlight w:val="none"/>
        </w:rPr>
      </w:pPr>
      <w:r>
        <w:rPr>
          <w:rFonts w:hint="eastAsia" w:hAnsi="宋体"/>
          <w:b/>
          <w:bCs/>
          <w:color w:val="auto"/>
          <w:sz w:val="21"/>
          <w:highlight w:val="none"/>
        </w:rPr>
        <w:t>13、包装、发运及运输</w:t>
      </w:r>
    </w:p>
    <w:p>
      <w:pPr>
        <w:pStyle w:val="11"/>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13.1 乙方应对其提供的服务所涉及物品在发运前对其进行满足运输距离、防潮、防震、防锈和防破损装卸等要求包装，以保证安全运达甲方指定地点。</w:t>
      </w:r>
    </w:p>
    <w:p>
      <w:pPr>
        <w:pStyle w:val="11"/>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13.2 乙方交付时，使用说明书、检验证明书、随配附件和工具以及清单一并附于内。</w:t>
      </w:r>
    </w:p>
    <w:p>
      <w:pPr>
        <w:pStyle w:val="11"/>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13.3 乙方在提供的服务所涉及物品在货物发运手续办理完毕后24小时内或货到甲方48小时前通知甲方，以准备甲方接货。根据甲方通知的时间和指定的地点，乙方负责安排送货、装卸、清点、堆放，设备初验收合格前的保管工作由乙方负责，费用乙方承担。</w:t>
      </w:r>
    </w:p>
    <w:p>
      <w:pPr>
        <w:pStyle w:val="11"/>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13.4 服务在交付甲方前发生的风险均由乙方负责。</w:t>
      </w:r>
    </w:p>
    <w:p>
      <w:pPr>
        <w:pStyle w:val="11"/>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13.5 服务在规定的交付期限内由乙方送达甲方指定的地点。</w:t>
      </w:r>
    </w:p>
    <w:p>
      <w:pPr>
        <w:pStyle w:val="11"/>
        <w:snapToGrid w:val="0"/>
        <w:spacing w:before="120" w:after="120" w:line="360" w:lineRule="auto"/>
        <w:ind w:left="315" w:leftChars="150" w:firstLine="105" w:firstLineChars="50"/>
        <w:rPr>
          <w:rFonts w:hAnsi="宋体" w:cs="Courier New"/>
          <w:b/>
          <w:bCs/>
          <w:color w:val="auto"/>
          <w:sz w:val="21"/>
          <w:highlight w:val="none"/>
        </w:rPr>
      </w:pPr>
      <w:r>
        <w:rPr>
          <w:rFonts w:hint="eastAsia" w:hAnsi="宋体"/>
          <w:b/>
          <w:bCs/>
          <w:color w:val="auto"/>
          <w:sz w:val="21"/>
          <w:highlight w:val="none"/>
        </w:rPr>
        <w:t>14、违约责任</w:t>
      </w:r>
    </w:p>
    <w:p>
      <w:pPr>
        <w:pStyle w:val="11"/>
        <w:snapToGrid w:val="0"/>
        <w:spacing w:before="120" w:after="120" w:line="360" w:lineRule="auto"/>
        <w:ind w:firstLine="420" w:firstLineChars="200"/>
        <w:rPr>
          <w:rFonts w:hAnsi="宋体" w:cs="宋体"/>
          <w:color w:val="auto"/>
          <w:sz w:val="21"/>
          <w:highlight w:val="none"/>
        </w:rPr>
      </w:pPr>
      <w:r>
        <w:rPr>
          <w:rFonts w:hint="eastAsia" w:hAnsi="宋体" w:cs="宋体"/>
          <w:color w:val="auto"/>
          <w:sz w:val="21"/>
          <w:highlight w:val="none"/>
        </w:rPr>
        <w:t>14.1 甲方无正当理由拒绝初验收和终验收服务项目的，甲方应按未付服务项目款金额每日万分之五向乙方支付违约金。</w:t>
      </w:r>
    </w:p>
    <w:p>
      <w:pPr>
        <w:pStyle w:val="11"/>
        <w:snapToGrid w:val="0"/>
        <w:spacing w:before="120" w:after="120" w:line="360" w:lineRule="auto"/>
        <w:ind w:firstLine="420" w:firstLineChars="200"/>
        <w:rPr>
          <w:rFonts w:hAnsi="宋体" w:cs="宋体"/>
          <w:color w:val="auto"/>
          <w:sz w:val="21"/>
          <w:highlight w:val="none"/>
        </w:rPr>
      </w:pPr>
      <w:r>
        <w:rPr>
          <w:rFonts w:hint="eastAsia" w:hAnsi="宋体" w:cs="宋体"/>
          <w:color w:val="auto"/>
          <w:sz w:val="21"/>
          <w:highlight w:val="none"/>
        </w:rPr>
        <w:t>14.2 甲方无故逾期验收和无故逾期办理款项支付手续的,甲方应按逾期付款金额每日万分之五向乙方支付违约金。</w:t>
      </w:r>
    </w:p>
    <w:p>
      <w:pPr>
        <w:pStyle w:val="11"/>
        <w:snapToGrid w:val="0"/>
        <w:spacing w:before="120" w:after="120" w:line="360" w:lineRule="auto"/>
        <w:ind w:firstLine="420" w:firstLineChars="200"/>
        <w:rPr>
          <w:rFonts w:hAnsi="宋体" w:cs="宋体"/>
          <w:color w:val="auto"/>
          <w:sz w:val="21"/>
          <w:highlight w:val="none"/>
        </w:rPr>
      </w:pPr>
      <w:r>
        <w:rPr>
          <w:rFonts w:hint="eastAsia" w:hAnsi="宋体" w:cs="宋体"/>
          <w:color w:val="auto"/>
          <w:sz w:val="21"/>
          <w:highlight w:val="none"/>
        </w:rPr>
        <w:t>14.3乙方违约，在消除违约情形前，应按本合同项目总额每日万分之五向甲方支付违约金，甲方可以从待付款项中扣除。</w:t>
      </w:r>
    </w:p>
    <w:p>
      <w:pPr>
        <w:pStyle w:val="11"/>
        <w:snapToGrid w:val="0"/>
        <w:spacing w:before="120" w:after="120" w:line="360" w:lineRule="auto"/>
        <w:ind w:firstLine="420" w:firstLineChars="200"/>
        <w:rPr>
          <w:rFonts w:hAnsi="宋体" w:cs="宋体"/>
          <w:color w:val="auto"/>
          <w:sz w:val="21"/>
          <w:highlight w:val="none"/>
        </w:rPr>
      </w:pPr>
      <w:r>
        <w:rPr>
          <w:rFonts w:hint="eastAsia" w:hAnsi="宋体" w:cs="宋体"/>
          <w:color w:val="auto"/>
          <w:sz w:val="21"/>
          <w:highlight w:val="none"/>
        </w:rPr>
        <w:t>14.4乙方因逾期交付服务项目或因其他违约行为，导致甲方解除合同的，乙方应向甲方支付合同总值5%的违约金，如造成甲方损失超过违约金的，超出部分由乙方继续承担赔偿责任。</w:t>
      </w:r>
    </w:p>
    <w:p>
      <w:pPr>
        <w:pStyle w:val="11"/>
        <w:snapToGrid w:val="0"/>
        <w:spacing w:before="120" w:after="120" w:line="360" w:lineRule="auto"/>
        <w:ind w:firstLine="420" w:firstLineChars="200"/>
        <w:rPr>
          <w:rFonts w:hAnsi="宋体" w:cs="宋体"/>
          <w:color w:val="auto"/>
          <w:sz w:val="21"/>
          <w:highlight w:val="none"/>
        </w:rPr>
      </w:pPr>
      <w:r>
        <w:rPr>
          <w:rFonts w:hint="eastAsia" w:hAnsi="宋体" w:cs="宋体"/>
          <w:color w:val="auto"/>
          <w:sz w:val="21"/>
          <w:highlight w:val="none"/>
        </w:rPr>
        <w:t>14.5 乙方所交的服务项目全部或部分品种、型号、规格、技术参数、质量不符合合同规定及磋商文件规定标准的，乙方更换服务但逾期交付的（甲方拒绝接受的除外），按乙方逾期交付处理；乙方拒绝更换的，甲方可选择解除本合同或本合同的一部分，并可追究乙方的其他违约责任。</w:t>
      </w:r>
    </w:p>
    <w:p>
      <w:pPr>
        <w:pStyle w:val="11"/>
        <w:snapToGrid w:val="0"/>
        <w:spacing w:before="120" w:after="120" w:line="360" w:lineRule="auto"/>
        <w:ind w:firstLine="420" w:firstLineChars="200"/>
        <w:rPr>
          <w:rFonts w:hAnsi="宋体" w:cs="宋体"/>
          <w:color w:val="auto"/>
          <w:sz w:val="21"/>
          <w:highlight w:val="none"/>
        </w:rPr>
      </w:pPr>
      <w:r>
        <w:rPr>
          <w:rFonts w:hint="eastAsia" w:hAnsi="宋体" w:cs="宋体"/>
          <w:color w:val="auto"/>
          <w:sz w:val="21"/>
          <w:highlight w:val="none"/>
        </w:rPr>
        <w:t>14.6合同生效后，发现乙方响应属虚假承诺，或经权威部门监测提供的服务不能满足磋商文件要求，造成合同无法继续履行的，还应向甲方支付不少于合同总价</w:t>
      </w:r>
      <w:r>
        <w:rPr>
          <w:rFonts w:hint="eastAsia" w:hAnsi="宋体" w:cs="宋体"/>
          <w:color w:val="auto"/>
          <w:sz w:val="21"/>
          <w:highlight w:val="none"/>
          <w:u w:val="single"/>
        </w:rPr>
        <w:t xml:space="preserve"> 10 </w:t>
      </w:r>
      <w:r>
        <w:rPr>
          <w:rFonts w:hint="eastAsia" w:hAnsi="宋体" w:cs="宋体"/>
          <w:color w:val="auto"/>
          <w:sz w:val="21"/>
          <w:highlight w:val="none"/>
        </w:rPr>
        <w:t>%赔偿金。</w:t>
      </w:r>
    </w:p>
    <w:p>
      <w:pPr>
        <w:pStyle w:val="11"/>
        <w:snapToGrid w:val="0"/>
        <w:spacing w:before="120" w:after="120" w:line="360" w:lineRule="auto"/>
        <w:ind w:firstLine="422" w:firstLineChars="200"/>
        <w:rPr>
          <w:rFonts w:hAnsi="宋体" w:cs="Courier New"/>
          <w:b/>
          <w:bCs/>
          <w:color w:val="auto"/>
          <w:sz w:val="21"/>
          <w:highlight w:val="none"/>
        </w:rPr>
      </w:pPr>
      <w:r>
        <w:rPr>
          <w:rFonts w:hint="eastAsia" w:hAnsi="宋体"/>
          <w:b/>
          <w:bCs/>
          <w:color w:val="auto"/>
          <w:sz w:val="21"/>
          <w:highlight w:val="none"/>
        </w:rPr>
        <w:t>15、不可抗力事件处理</w:t>
      </w:r>
    </w:p>
    <w:p>
      <w:pPr>
        <w:pStyle w:val="11"/>
        <w:snapToGrid w:val="0"/>
        <w:spacing w:before="120" w:after="120" w:line="360" w:lineRule="auto"/>
        <w:ind w:firstLine="420" w:firstLineChars="200"/>
        <w:rPr>
          <w:rFonts w:hAnsi="宋体"/>
          <w:color w:val="auto"/>
          <w:sz w:val="21"/>
          <w:highlight w:val="none"/>
        </w:rPr>
      </w:pPr>
      <w:r>
        <w:rPr>
          <w:rFonts w:hint="eastAsia" w:hAnsi="宋体"/>
          <w:color w:val="auto"/>
          <w:sz w:val="21"/>
          <w:highlight w:val="none"/>
        </w:rPr>
        <w:t>15.1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11"/>
        <w:snapToGrid w:val="0"/>
        <w:spacing w:before="120" w:after="120" w:line="360" w:lineRule="auto"/>
        <w:ind w:firstLine="420" w:firstLineChars="200"/>
        <w:rPr>
          <w:rFonts w:hAnsi="宋体"/>
          <w:color w:val="auto"/>
          <w:sz w:val="21"/>
          <w:highlight w:val="none"/>
        </w:rPr>
      </w:pPr>
      <w:r>
        <w:rPr>
          <w:rFonts w:hint="eastAsia" w:hAnsi="宋体"/>
          <w:color w:val="auto"/>
          <w:sz w:val="21"/>
          <w:highlight w:val="none"/>
        </w:rPr>
        <w:t>15.2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11"/>
        <w:snapToGrid w:val="0"/>
        <w:spacing w:before="120" w:after="120" w:line="360" w:lineRule="auto"/>
        <w:ind w:left="315" w:leftChars="150" w:firstLine="105" w:firstLineChars="50"/>
        <w:rPr>
          <w:rFonts w:hAnsi="宋体"/>
          <w:b/>
          <w:bCs/>
          <w:color w:val="auto"/>
          <w:sz w:val="21"/>
          <w:highlight w:val="none"/>
        </w:rPr>
      </w:pPr>
      <w:r>
        <w:rPr>
          <w:rFonts w:hint="eastAsia" w:hAnsi="宋体"/>
          <w:b/>
          <w:bCs/>
          <w:color w:val="auto"/>
          <w:sz w:val="21"/>
          <w:highlight w:val="none"/>
        </w:rPr>
        <w:t>16、争议解决</w:t>
      </w:r>
    </w:p>
    <w:p>
      <w:pPr>
        <w:pStyle w:val="11"/>
        <w:snapToGrid w:val="0"/>
        <w:spacing w:before="120" w:after="120" w:line="360" w:lineRule="auto"/>
        <w:ind w:firstLine="420" w:firstLineChars="200"/>
        <w:rPr>
          <w:rFonts w:hAnsi="宋体"/>
          <w:color w:val="auto"/>
          <w:sz w:val="21"/>
          <w:highlight w:val="none"/>
        </w:rPr>
      </w:pPr>
      <w:r>
        <w:rPr>
          <w:rFonts w:hint="eastAsia" w:hAnsi="宋体"/>
          <w:color w:val="auto"/>
          <w:sz w:val="21"/>
          <w:highlight w:val="none"/>
        </w:rPr>
        <w:t>16.1 因服务的品质质量问题发生争议的，可在国家认可的质量检测机构对服务内容质量进行鉴定。服务符合标准的，鉴定费由甲方承担；服务项目不符合质量标准的，鉴定费由乙方承担。</w:t>
      </w:r>
    </w:p>
    <w:p>
      <w:pPr>
        <w:pStyle w:val="11"/>
        <w:snapToGrid w:val="0"/>
        <w:spacing w:before="120" w:after="120" w:line="360" w:lineRule="auto"/>
        <w:ind w:firstLine="420" w:firstLineChars="200"/>
        <w:rPr>
          <w:rFonts w:hAnsi="宋体"/>
          <w:color w:val="auto"/>
          <w:sz w:val="21"/>
          <w:highlight w:val="none"/>
        </w:rPr>
      </w:pPr>
      <w:r>
        <w:rPr>
          <w:rFonts w:hint="eastAsia" w:hAnsi="宋体"/>
          <w:color w:val="auto"/>
          <w:sz w:val="21"/>
          <w:highlight w:val="none"/>
        </w:rPr>
        <w:t>16.2 因履行本合同引起的或与本合同有关的争议，甲、乙双方应首先通过友好协商解决；如果协商不能解决争议，甲乙双方同意采取下列两种方式的第</w:t>
      </w:r>
      <w:r>
        <w:rPr>
          <w:rFonts w:hint="eastAsia" w:hAnsi="宋体"/>
          <w:color w:val="auto"/>
          <w:sz w:val="21"/>
          <w:highlight w:val="none"/>
          <w:u w:val="single"/>
        </w:rPr>
        <w:t>（1）</w:t>
      </w:r>
      <w:r>
        <w:rPr>
          <w:rFonts w:hint="eastAsia" w:hAnsi="宋体"/>
          <w:color w:val="auto"/>
          <w:sz w:val="21"/>
          <w:highlight w:val="none"/>
        </w:rPr>
        <w:t>种方式解决争议。</w:t>
      </w:r>
    </w:p>
    <w:p>
      <w:pPr>
        <w:pStyle w:val="11"/>
        <w:snapToGrid w:val="0"/>
        <w:spacing w:before="120" w:after="120" w:line="360" w:lineRule="auto"/>
        <w:ind w:firstLine="420" w:firstLineChars="200"/>
        <w:rPr>
          <w:rFonts w:hAnsi="宋体"/>
          <w:color w:val="auto"/>
          <w:sz w:val="21"/>
          <w:highlight w:val="none"/>
        </w:rPr>
      </w:pPr>
      <w:r>
        <w:rPr>
          <w:rFonts w:hint="eastAsia" w:hAnsi="宋体"/>
          <w:color w:val="auto"/>
          <w:sz w:val="21"/>
          <w:highlight w:val="none"/>
        </w:rPr>
        <w:t>（1）向甲方所在地有管辖权的人民法院提起诉讼，适用中华人民共和国法律；</w:t>
      </w:r>
    </w:p>
    <w:p>
      <w:pPr>
        <w:pStyle w:val="11"/>
        <w:snapToGrid w:val="0"/>
        <w:spacing w:before="120" w:after="120" w:line="360" w:lineRule="auto"/>
        <w:ind w:firstLine="420" w:firstLineChars="200"/>
        <w:rPr>
          <w:rFonts w:hAnsi="宋体"/>
          <w:color w:val="auto"/>
          <w:sz w:val="21"/>
          <w:highlight w:val="none"/>
        </w:rPr>
      </w:pPr>
      <w:r>
        <w:rPr>
          <w:rFonts w:hint="eastAsia" w:hAnsi="宋体"/>
          <w:color w:val="auto"/>
          <w:sz w:val="21"/>
          <w:highlight w:val="none"/>
        </w:rPr>
        <w:t>（2）向扬州仲裁委员会按其仲裁规则申请仲裁。</w:t>
      </w:r>
    </w:p>
    <w:p>
      <w:pPr>
        <w:pStyle w:val="11"/>
        <w:snapToGrid w:val="0"/>
        <w:spacing w:before="120" w:after="120" w:line="360" w:lineRule="auto"/>
        <w:ind w:firstLine="420" w:firstLineChars="200"/>
        <w:rPr>
          <w:rFonts w:hAnsi="宋体"/>
          <w:color w:val="auto"/>
          <w:sz w:val="21"/>
          <w:highlight w:val="none"/>
        </w:rPr>
      </w:pPr>
      <w:r>
        <w:rPr>
          <w:rFonts w:hint="eastAsia" w:hAnsi="宋体"/>
          <w:color w:val="auto"/>
          <w:sz w:val="21"/>
          <w:highlight w:val="none"/>
        </w:rPr>
        <w:t>16.3 若甲乙双方任何一方都没有选择解除合同的，为避免扩大损失，在诉讼或仲裁期间，双方应继续履行。</w:t>
      </w:r>
    </w:p>
    <w:p>
      <w:pPr>
        <w:pStyle w:val="11"/>
        <w:snapToGrid w:val="0"/>
        <w:spacing w:before="120" w:after="120" w:line="360" w:lineRule="auto"/>
        <w:ind w:left="315" w:leftChars="150" w:firstLine="105" w:firstLineChars="50"/>
        <w:rPr>
          <w:rFonts w:hAnsi="宋体"/>
          <w:b/>
          <w:bCs/>
          <w:color w:val="auto"/>
          <w:sz w:val="21"/>
          <w:highlight w:val="none"/>
        </w:rPr>
      </w:pPr>
      <w:r>
        <w:rPr>
          <w:rFonts w:hint="eastAsia" w:hAnsi="宋体"/>
          <w:b/>
          <w:bCs/>
          <w:color w:val="auto"/>
          <w:sz w:val="21"/>
          <w:highlight w:val="none"/>
        </w:rPr>
        <w:t>17、合同其它</w:t>
      </w:r>
    </w:p>
    <w:p>
      <w:pPr>
        <w:pStyle w:val="11"/>
        <w:snapToGrid w:val="0"/>
        <w:spacing w:before="120" w:after="120" w:line="360" w:lineRule="auto"/>
        <w:ind w:firstLine="420" w:firstLineChars="200"/>
        <w:rPr>
          <w:rFonts w:hAnsi="宋体"/>
          <w:color w:val="auto"/>
          <w:sz w:val="21"/>
          <w:highlight w:val="none"/>
        </w:rPr>
      </w:pPr>
      <w:r>
        <w:rPr>
          <w:rFonts w:hint="eastAsia" w:hAnsi="宋体"/>
          <w:color w:val="auto"/>
          <w:sz w:val="21"/>
          <w:highlight w:val="none"/>
        </w:rPr>
        <w:t>17.1 乙方应诚实信用，严格按照磋商文件要求和响应承诺履行合同，不向甲方进行商业贿赂或者提供不正当利益。</w:t>
      </w:r>
    </w:p>
    <w:p>
      <w:pPr>
        <w:pStyle w:val="11"/>
        <w:snapToGrid w:val="0"/>
        <w:spacing w:before="120" w:after="120" w:line="360" w:lineRule="auto"/>
        <w:ind w:firstLine="420" w:firstLineChars="200"/>
        <w:rPr>
          <w:rFonts w:hAnsi="宋体"/>
          <w:color w:val="auto"/>
          <w:sz w:val="21"/>
          <w:highlight w:val="none"/>
          <w:u w:val="single"/>
        </w:rPr>
      </w:pPr>
      <w:r>
        <w:rPr>
          <w:rFonts w:hint="eastAsia" w:hAnsi="宋体"/>
          <w:color w:val="auto"/>
          <w:sz w:val="21"/>
          <w:highlight w:val="none"/>
        </w:rPr>
        <w:t>17.2 合同经双方法定代表人或授权代表签字并加盖单位公章后并经见证方见证盖章后生效。</w:t>
      </w:r>
    </w:p>
    <w:p>
      <w:pPr>
        <w:pStyle w:val="11"/>
        <w:snapToGrid w:val="0"/>
        <w:spacing w:before="120" w:after="120" w:line="360" w:lineRule="auto"/>
        <w:ind w:firstLine="420" w:firstLineChars="200"/>
        <w:rPr>
          <w:rFonts w:hAnsi="宋体"/>
          <w:color w:val="auto"/>
          <w:sz w:val="21"/>
          <w:highlight w:val="none"/>
          <w:u w:val="single"/>
        </w:rPr>
      </w:pPr>
      <w:r>
        <w:rPr>
          <w:rFonts w:hint="eastAsia" w:hAnsi="宋体"/>
          <w:color w:val="auto"/>
          <w:sz w:val="21"/>
          <w:highlight w:val="none"/>
        </w:rPr>
        <w:t>17.3本合同未尽事宜，遵照《民法典》有关条文执行。</w:t>
      </w:r>
    </w:p>
    <w:p>
      <w:pPr>
        <w:pStyle w:val="11"/>
        <w:snapToGrid w:val="0"/>
        <w:spacing w:before="120" w:after="120" w:line="360" w:lineRule="auto"/>
        <w:ind w:firstLine="420" w:firstLineChars="200"/>
        <w:rPr>
          <w:rFonts w:hint="eastAsia" w:hAnsi="宋体"/>
          <w:color w:val="auto"/>
          <w:sz w:val="21"/>
          <w:highlight w:val="none"/>
        </w:rPr>
      </w:pPr>
      <w:r>
        <w:rPr>
          <w:rFonts w:hint="eastAsia" w:hAnsi="宋体"/>
          <w:color w:val="auto"/>
          <w:sz w:val="21"/>
          <w:highlight w:val="none"/>
        </w:rPr>
        <w:t xml:space="preserve">17.4 </w:t>
      </w:r>
      <w:r>
        <w:rPr>
          <w:rFonts w:hint="eastAsia" w:hAnsi="宋体" w:cs="宋体"/>
          <w:color w:val="auto"/>
          <w:sz w:val="21"/>
          <w:highlight w:val="none"/>
        </w:rPr>
        <w:t>本合同正本一式四份，具有同等法律效力，甲方、乙方、见证方及财政监管部门各执一份。</w:t>
      </w:r>
    </w:p>
    <w:p>
      <w:pPr>
        <w:pStyle w:val="11"/>
        <w:snapToGrid w:val="0"/>
        <w:spacing w:before="120" w:after="120" w:line="360" w:lineRule="auto"/>
        <w:ind w:left="420" w:leftChars="100" w:hanging="210" w:hangingChars="100"/>
        <w:rPr>
          <w:rFonts w:hAnsi="宋体"/>
          <w:color w:val="auto"/>
          <w:sz w:val="21"/>
          <w:highlight w:val="none"/>
        </w:rPr>
      </w:pPr>
      <w:r>
        <w:rPr>
          <w:rFonts w:hint="eastAsia" w:hAnsi="宋体"/>
          <w:color w:val="auto"/>
          <w:sz w:val="21"/>
          <w:highlight w:val="none"/>
        </w:rPr>
        <w:t>甲方：</w:t>
      </w:r>
      <w:r>
        <w:rPr>
          <w:rFonts w:hint="eastAsia" w:hAnsi="宋体"/>
          <w:color w:val="auto"/>
          <w:sz w:val="21"/>
          <w:highlight w:val="none"/>
          <w:lang w:eastAsia="zh-CN"/>
        </w:rPr>
        <w:t>扬州高等职业技术学校</w:t>
      </w:r>
      <w:r>
        <w:rPr>
          <w:rFonts w:hint="eastAsia" w:hAnsi="宋体"/>
          <w:color w:val="auto"/>
          <w:sz w:val="21"/>
          <w:highlight w:val="none"/>
        </w:rPr>
        <w:tab/>
      </w:r>
      <w:r>
        <w:rPr>
          <w:rFonts w:hint="eastAsia" w:hAnsi="宋体"/>
          <w:color w:val="auto"/>
          <w:sz w:val="21"/>
          <w:highlight w:val="none"/>
        </w:rPr>
        <w:t xml:space="preserve">               乙方： </w:t>
      </w:r>
    </w:p>
    <w:p>
      <w:pPr>
        <w:pStyle w:val="11"/>
        <w:snapToGrid w:val="0"/>
        <w:spacing w:before="120" w:after="120" w:line="360" w:lineRule="auto"/>
        <w:rPr>
          <w:rFonts w:hAnsi="宋体"/>
          <w:color w:val="auto"/>
          <w:sz w:val="21"/>
          <w:highlight w:val="none"/>
        </w:rPr>
      </w:pPr>
      <w:r>
        <w:rPr>
          <w:rFonts w:hint="eastAsia" w:hAnsi="宋体"/>
          <w:color w:val="auto"/>
          <w:sz w:val="21"/>
          <w:highlight w:val="none"/>
        </w:rPr>
        <w:t xml:space="preserve">  法定代表人或授权代表：                   法定代表人或授权代表：</w:t>
      </w:r>
    </w:p>
    <w:p>
      <w:pPr>
        <w:pStyle w:val="11"/>
        <w:snapToGrid w:val="0"/>
        <w:spacing w:before="120" w:after="120" w:line="360" w:lineRule="auto"/>
        <w:ind w:firstLine="210" w:firstLineChars="100"/>
        <w:rPr>
          <w:rFonts w:hint="eastAsia" w:hAnsi="宋体"/>
          <w:color w:val="auto"/>
          <w:sz w:val="21"/>
          <w:highlight w:val="none"/>
        </w:rPr>
      </w:pPr>
      <w:r>
        <w:rPr>
          <w:rFonts w:hint="eastAsia" w:hAnsi="宋体"/>
          <w:color w:val="auto"/>
          <w:sz w:val="21"/>
          <w:highlight w:val="none"/>
        </w:rPr>
        <w:t xml:space="preserve">日期：      年    月    日               日期：      年    月    日     </w:t>
      </w:r>
    </w:p>
    <w:p>
      <w:pPr>
        <w:pStyle w:val="11"/>
        <w:snapToGrid w:val="0"/>
        <w:spacing w:before="120" w:after="120" w:line="360" w:lineRule="auto"/>
        <w:ind w:left="420" w:hanging="420" w:hangingChars="200"/>
        <w:rPr>
          <w:rFonts w:hint="eastAsia" w:hAnsi="宋体"/>
          <w:color w:val="auto"/>
          <w:sz w:val="21"/>
          <w:highlight w:val="none"/>
        </w:rPr>
      </w:pPr>
      <w:r>
        <w:rPr>
          <w:rFonts w:hint="eastAsia" w:hAnsi="宋体"/>
          <w:color w:val="auto"/>
          <w:sz w:val="21"/>
          <w:highlight w:val="none"/>
        </w:rPr>
        <w:t xml:space="preserve"> </w:t>
      </w:r>
    </w:p>
    <w:p>
      <w:pPr>
        <w:pStyle w:val="11"/>
        <w:snapToGrid w:val="0"/>
        <w:spacing w:before="120" w:after="120" w:line="360" w:lineRule="auto"/>
        <w:ind w:left="420" w:leftChars="100" w:hanging="210" w:hangingChars="100"/>
        <w:rPr>
          <w:rFonts w:hAnsi="宋体"/>
          <w:color w:val="auto"/>
          <w:sz w:val="21"/>
          <w:highlight w:val="none"/>
        </w:rPr>
      </w:pPr>
      <w:r>
        <w:rPr>
          <w:rFonts w:hint="eastAsia" w:hAnsi="宋体"/>
          <w:color w:val="auto"/>
          <w:sz w:val="21"/>
          <w:highlight w:val="none"/>
        </w:rPr>
        <w:t>见证方：</w:t>
      </w:r>
      <w:r>
        <w:rPr>
          <w:rFonts w:hint="eastAsia" w:hAnsi="宋体"/>
          <w:color w:val="auto"/>
          <w:sz w:val="21"/>
          <w:highlight w:val="none"/>
          <w:lang w:eastAsia="zh-CN"/>
        </w:rPr>
        <w:t>扬州筑苑工程招标咨询有限公司</w:t>
      </w:r>
      <w:r>
        <w:rPr>
          <w:rFonts w:hint="eastAsia" w:hAnsi="宋体"/>
          <w:color w:val="auto"/>
          <w:sz w:val="21"/>
          <w:highlight w:val="none"/>
        </w:rPr>
        <w:tab/>
      </w:r>
      <w:r>
        <w:rPr>
          <w:rFonts w:hint="eastAsia" w:hAnsi="宋体"/>
          <w:color w:val="auto"/>
          <w:sz w:val="21"/>
          <w:highlight w:val="none"/>
        </w:rPr>
        <w:tab/>
      </w:r>
      <w:r>
        <w:rPr>
          <w:rFonts w:hint="eastAsia" w:hAnsi="宋体"/>
          <w:color w:val="auto"/>
          <w:sz w:val="21"/>
          <w:highlight w:val="none"/>
        </w:rPr>
        <w:t xml:space="preserve">   </w:t>
      </w:r>
      <w:r>
        <w:rPr>
          <w:rFonts w:hint="eastAsia" w:hAnsi="宋体"/>
          <w:color w:val="auto"/>
          <w:sz w:val="21"/>
          <w:highlight w:val="none"/>
        </w:rPr>
        <w:tab/>
      </w:r>
      <w:r>
        <w:rPr>
          <w:rFonts w:hint="eastAsia" w:hAnsi="宋体"/>
          <w:color w:val="auto"/>
          <w:sz w:val="21"/>
          <w:highlight w:val="none"/>
        </w:rPr>
        <w:tab/>
      </w:r>
      <w:r>
        <w:rPr>
          <w:rFonts w:hint="eastAsia" w:hAnsi="宋体"/>
          <w:color w:val="auto"/>
          <w:sz w:val="21"/>
          <w:highlight w:val="none"/>
        </w:rPr>
        <w:tab/>
      </w:r>
      <w:r>
        <w:rPr>
          <w:rFonts w:hint="eastAsia" w:hAnsi="宋体"/>
          <w:color w:val="auto"/>
          <w:sz w:val="21"/>
          <w:highlight w:val="none"/>
        </w:rPr>
        <w:tab/>
      </w:r>
      <w:r>
        <w:rPr>
          <w:rFonts w:hint="eastAsia" w:hAnsi="宋体"/>
          <w:color w:val="auto"/>
          <w:sz w:val="21"/>
          <w:highlight w:val="none"/>
        </w:rPr>
        <w:t xml:space="preserve">                   </w:t>
      </w:r>
    </w:p>
    <w:p>
      <w:pPr>
        <w:pStyle w:val="11"/>
        <w:snapToGrid w:val="0"/>
        <w:spacing w:before="120" w:after="120" w:line="360" w:lineRule="auto"/>
        <w:rPr>
          <w:rFonts w:hAnsi="宋体"/>
          <w:color w:val="auto"/>
          <w:sz w:val="21"/>
          <w:highlight w:val="none"/>
        </w:rPr>
      </w:pPr>
      <w:r>
        <w:rPr>
          <w:rFonts w:hint="eastAsia" w:hAnsi="宋体"/>
          <w:color w:val="auto"/>
          <w:sz w:val="21"/>
          <w:highlight w:val="none"/>
        </w:rPr>
        <w:t xml:space="preserve">  经办人：                                                </w:t>
      </w:r>
    </w:p>
    <w:p>
      <w:pPr>
        <w:pStyle w:val="11"/>
        <w:snapToGrid w:val="0"/>
        <w:spacing w:line="360" w:lineRule="auto"/>
        <w:ind w:firstLine="210" w:firstLineChars="100"/>
        <w:rPr>
          <w:rFonts w:hint="eastAsia" w:hAnsi="宋体"/>
          <w:color w:val="auto"/>
          <w:sz w:val="21"/>
          <w:szCs w:val="21"/>
          <w:highlight w:val="none"/>
          <w:lang w:eastAsia="zh-CN"/>
        </w:rPr>
      </w:pPr>
      <w:r>
        <w:rPr>
          <w:rFonts w:hint="eastAsia" w:hAnsi="宋体"/>
          <w:color w:val="auto"/>
          <w:sz w:val="21"/>
          <w:highlight w:val="none"/>
        </w:rPr>
        <w:t xml:space="preserve">日期：      年    月    日              </w:t>
      </w:r>
    </w:p>
    <w:p>
      <w:pPr>
        <w:pStyle w:val="11"/>
        <w:snapToGrid w:val="0"/>
        <w:spacing w:line="360" w:lineRule="auto"/>
        <w:ind w:firstLine="210" w:firstLineChars="100"/>
        <w:rPr>
          <w:rFonts w:hint="eastAsia" w:hAnsi="宋体"/>
          <w:color w:val="auto"/>
          <w:sz w:val="21"/>
          <w:szCs w:val="21"/>
          <w:highlight w:val="none"/>
          <w:lang w:eastAsia="zh-CN"/>
        </w:rPr>
      </w:pPr>
    </w:p>
    <w:p>
      <w:pPr>
        <w:pStyle w:val="11"/>
        <w:snapToGrid w:val="0"/>
        <w:spacing w:line="360" w:lineRule="auto"/>
        <w:ind w:firstLine="210" w:firstLineChars="100"/>
        <w:rPr>
          <w:rFonts w:hint="eastAsia" w:hAnsi="宋体"/>
          <w:color w:val="auto"/>
          <w:sz w:val="21"/>
          <w:szCs w:val="21"/>
          <w:highlight w:val="none"/>
          <w:lang w:eastAsia="zh-CN"/>
        </w:rPr>
      </w:pPr>
    </w:p>
    <w:p>
      <w:pPr>
        <w:pStyle w:val="11"/>
        <w:snapToGrid w:val="0"/>
        <w:spacing w:line="360" w:lineRule="auto"/>
        <w:ind w:firstLine="210" w:firstLineChars="100"/>
        <w:rPr>
          <w:rFonts w:hint="eastAsia" w:hAnsi="宋体"/>
          <w:color w:val="auto"/>
          <w:sz w:val="21"/>
          <w:szCs w:val="21"/>
          <w:highlight w:val="none"/>
          <w:lang w:eastAsia="zh-CN"/>
        </w:rPr>
      </w:pPr>
    </w:p>
    <w:p>
      <w:pPr>
        <w:pStyle w:val="11"/>
        <w:snapToGrid w:val="0"/>
        <w:spacing w:line="360" w:lineRule="auto"/>
        <w:ind w:firstLine="210" w:firstLineChars="100"/>
        <w:rPr>
          <w:rFonts w:hint="eastAsia" w:hAnsi="宋体"/>
          <w:color w:val="auto"/>
          <w:sz w:val="21"/>
          <w:szCs w:val="21"/>
          <w:highlight w:val="none"/>
          <w:lang w:eastAsia="zh-CN"/>
        </w:rPr>
      </w:pPr>
    </w:p>
    <w:p>
      <w:pPr>
        <w:rPr>
          <w:color w:val="auto"/>
          <w:highlight w:val="none"/>
        </w:rPr>
      </w:pPr>
    </w:p>
    <w:p>
      <w:pPr>
        <w:pStyle w:val="3"/>
        <w:jc w:val="center"/>
        <w:rPr>
          <w:rFonts w:ascii="宋体" w:hAnsi="宋体"/>
          <w:color w:val="auto"/>
          <w:sz w:val="36"/>
          <w:highlight w:val="none"/>
        </w:rPr>
      </w:pPr>
      <w:bookmarkStart w:id="119" w:name="_Toc17215855"/>
      <w:bookmarkStart w:id="120" w:name="_Toc29215471"/>
      <w:bookmarkStart w:id="121" w:name="_Toc504128235"/>
      <w:r>
        <w:rPr>
          <w:color w:val="auto"/>
          <w:highlight w:val="none"/>
        </w:rPr>
        <w:t>第四章</w:t>
      </w:r>
      <w:r>
        <w:rPr>
          <w:rFonts w:hint="eastAsia"/>
          <w:color w:val="auto"/>
          <w:highlight w:val="none"/>
        </w:rPr>
        <w:t>项目需求</w:t>
      </w:r>
      <w:bookmarkEnd w:id="119"/>
      <w:bookmarkEnd w:id="120"/>
    </w:p>
    <w:p>
      <w:pPr>
        <w:pageBreakBefore w:val="0"/>
        <w:numPr>
          <w:ilvl w:val="0"/>
          <w:numId w:val="0"/>
        </w:numPr>
        <w:kinsoku/>
        <w:wordWrap/>
        <w:overflowPunct/>
        <w:topLinePunct w:val="0"/>
        <w:bidi w:val="0"/>
        <w:spacing w:line="360" w:lineRule="auto"/>
        <w:outlineLvl w:val="1"/>
        <w:rPr>
          <w:rFonts w:hint="eastAsia" w:ascii="宋体" w:hAnsi="宋体" w:cs="宋体"/>
          <w:b/>
          <w:bCs/>
          <w:color w:val="auto"/>
          <w:szCs w:val="21"/>
          <w:highlight w:val="none"/>
        </w:rPr>
      </w:pPr>
      <w:bookmarkStart w:id="122" w:name="_Toc29215472"/>
      <w:r>
        <w:rPr>
          <w:rFonts w:hint="eastAsia" w:ascii="宋体" w:hAnsi="宋体" w:cs="宋体"/>
          <w:b/>
          <w:bCs/>
          <w:color w:val="auto"/>
          <w:szCs w:val="21"/>
          <w:highlight w:val="none"/>
        </w:rPr>
        <w:t>产品技术参数</w:t>
      </w:r>
      <w:r>
        <w:rPr>
          <w:rFonts w:hint="default" w:ascii="宋体" w:hAnsi="宋体" w:cs="宋体"/>
          <w:b/>
          <w:bCs/>
          <w:color w:val="auto"/>
          <w:szCs w:val="21"/>
          <w:highlight w:val="none"/>
        </w:rPr>
        <w:t>：</w:t>
      </w:r>
    </w:p>
    <w:p>
      <w:pPr>
        <w:pageBreakBefore w:val="0"/>
        <w:widowControl/>
        <w:tabs>
          <w:tab w:val="left" w:pos="240"/>
        </w:tabs>
        <w:kinsoku/>
        <w:wordWrap/>
        <w:overflowPunct/>
        <w:topLinePunct w:val="0"/>
        <w:bidi w:val="0"/>
        <w:adjustRightInd w:val="0"/>
        <w:snapToGrid w:val="0"/>
        <w:spacing w:line="360" w:lineRule="auto"/>
        <w:ind w:firstLine="420" w:firstLineChars="200"/>
        <w:jc w:val="left"/>
        <w:outlineLvl w:val="0"/>
        <w:rPr>
          <w:rFonts w:ascii="宋体" w:hAnsi="宋体" w:cs="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一</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网络教学平台</w:t>
      </w:r>
    </w:p>
    <w:p>
      <w:pPr>
        <w:pageBreakBefore w:val="0"/>
        <w:kinsoku/>
        <w:wordWrap/>
        <w:overflowPunct/>
        <w:topLinePunct w:val="0"/>
        <w:bidi w:val="0"/>
        <w:snapToGrid w:val="0"/>
        <w:spacing w:line="360" w:lineRule="auto"/>
        <w:ind w:firstLine="422" w:firstLineChars="200"/>
        <w:outlineLvl w:val="0"/>
        <w:rPr>
          <w:rFonts w:ascii="宋体" w:hAnsi="宋体" w:cs="宋体"/>
          <w:b/>
          <w:bCs/>
          <w:color w:val="auto"/>
          <w:highlight w:val="none"/>
          <w:lang w:val="zh-CN"/>
        </w:rPr>
      </w:pPr>
      <w:r>
        <w:rPr>
          <w:rFonts w:hint="eastAsia" w:ascii="宋体" w:hAnsi="宋体" w:cs="宋体"/>
          <w:b/>
          <w:bCs/>
          <w:color w:val="auto"/>
          <w:highlight w:val="none"/>
          <w:lang w:val="zh-CN"/>
        </w:rPr>
        <w:t>1. 网络课程建设</w:t>
      </w:r>
      <w:bookmarkStart w:id="123" w:name="OLE_LINK58"/>
      <w:bookmarkStart w:id="124" w:name="OLE_LINK57"/>
      <w:bookmarkStart w:id="125" w:name="OLE_LINK55"/>
      <w:bookmarkStart w:id="126" w:name="OLE_LINK56"/>
      <w:bookmarkStart w:id="127" w:name="OLE_LINK54"/>
      <w:bookmarkStart w:id="128" w:name="OLE_LINK53"/>
      <w:bookmarkStart w:id="129" w:name="OLE_LINK52"/>
      <w:r>
        <w:rPr>
          <w:rFonts w:hint="eastAsia" w:ascii="宋体" w:hAnsi="宋体" w:cs="宋体"/>
          <w:b/>
          <w:bCs/>
          <w:color w:val="auto"/>
          <w:highlight w:val="none"/>
          <w:lang w:val="zh-CN"/>
        </w:rPr>
        <w:t>模块</w:t>
      </w:r>
      <w:bookmarkEnd w:id="123"/>
      <w:bookmarkEnd w:id="124"/>
      <w:bookmarkEnd w:id="125"/>
      <w:bookmarkEnd w:id="126"/>
      <w:bookmarkEnd w:id="127"/>
      <w:bookmarkEnd w:id="128"/>
      <w:bookmarkEnd w:id="129"/>
    </w:p>
    <w:p>
      <w:pPr>
        <w:pageBreakBefore w:val="0"/>
        <w:kinsoku/>
        <w:wordWrap/>
        <w:overflowPunct/>
        <w:topLinePunct w:val="0"/>
        <w:bidi w:val="0"/>
        <w:snapToGrid w:val="0"/>
        <w:spacing w:line="360" w:lineRule="auto"/>
        <w:ind w:firstLine="420" w:firstLineChars="200"/>
        <w:rPr>
          <w:rFonts w:hint="eastAsia" w:ascii="宋体" w:hAnsi="宋体" w:cs="宋体"/>
          <w:b w:val="0"/>
          <w:bCs w:val="0"/>
          <w:color w:val="auto"/>
          <w:highlight w:val="none"/>
          <w:lang w:val="zh-CN"/>
        </w:rPr>
      </w:pPr>
      <w:r>
        <w:rPr>
          <w:rFonts w:hint="eastAsia" w:ascii="宋体" w:hAnsi="宋体" w:cs="宋体"/>
          <w:b w:val="0"/>
          <w:bCs w:val="0"/>
          <w:color w:val="auto"/>
          <w:highlight w:val="none"/>
          <w:lang w:val="zh-CN"/>
        </w:rPr>
        <w:t>1.1支持整个课程创建、</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内容共享、学习过程跟踪和控制、在线测试和作业发布、交流互动、成绩评测和学习成果反馈教学流程，实现信息技术与教学过程的深度融合。</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1.2提供多套的精美网络课程建课模板，教师可依据个人资料及喜欢的风格进行个性化的设置，支持教师在建课程自动生成课程网站。</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1.3操作简单，只需通过“选择模板、编辑课程信息、编辑课程章节”等几个必要步骤，就可以快速地建成一门慕课或符合精品资源共享课程要求的个性化课程网站。</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1.4开始建课前，可以选择按周、课时自动生成课程章节，快速创建课程章节目录，提升建课效率。</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1.5课程</w:t>
      </w:r>
      <w:r>
        <w:rPr>
          <w:rFonts w:hint="eastAsia" w:ascii="宋体" w:hAnsi="宋体" w:cs="宋体"/>
          <w:b w:val="0"/>
          <w:bCs w:val="0"/>
          <w:color w:val="auto"/>
          <w:highlight w:val="none"/>
          <w:lang w:val="en-US" w:eastAsia="zh-CN"/>
        </w:rPr>
        <w:t>门户</w:t>
      </w:r>
      <w:r>
        <w:rPr>
          <w:rFonts w:hint="eastAsia" w:ascii="宋体" w:hAnsi="宋体" w:cs="宋体"/>
          <w:b w:val="0"/>
          <w:bCs w:val="0"/>
          <w:color w:val="auto"/>
          <w:highlight w:val="none"/>
          <w:lang w:val="zh-CN"/>
        </w:rPr>
        <w:t>页面操作简单、灵活方便、原位编辑、所见即所得。可以发布通告、课程资料、任务、教学资源链接、教师简介等信息。可以任意编写和设置课程的介绍、封面、教学要求、教师团队等等，并支持模块的添加、删除和位置调整，支持是否公开显示的设置，可以上传课程片花。</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1.6课程负责人可指派其他人作为具有同等或者小于本身课程建设管理权限的课程建设者共建同一门课程，也可为自己指定助教辅助自己进行教学管理。并且可以对助教的权限进行设置，比如，是否允许管理作业、允许管理考试、允许管理论坛、允许发布通知、允许管理课程设置等。</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★1.7教师可通过平台上传课程所需要的教材、参考书、视频等资源。课程的内容建设，参考资料等位置都可以使用图书、视频等网络资源一键式搜索插入，插入的资源可以直接点击在线播放查阅。</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1.8支持课程教学流程管理，可在课程学习过程中任意位置添加随堂测验，可在单元学习完成后布置作业，可以在章节学习完成后安排考试。</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1.9支持慕课制作和慕课教学模式，实现课程知识单元化，每个知识单元聚合丰富的富媒体教学资源，并在同一个页面中进行显示。每个课程单元还可以设置多个标签页。</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1.10课程单元内容建设采用富媒体编辑器，编辑器包含视频、文档、图片、音频、图书、公式、符号、附件、网页、动画等常用组件。</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1.11支持直接将从word中将内容复制粘贴到富媒体编辑器内，并完整保留里面的文字内容。</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★1.12支持rmvb、3gp、mpg、mpeg、mov、wmv、asf、avi、mkv、mp4、flv、vob、f4v等高清和网络格式视频上传，视频上传后自动转码，无需下载可以直接在线进行播放。</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★1.13支持多种文档格式的上传，包括PPT、PDF、WORD、EXCEL等，上传后自动转码，无需下载可以直接在线阅读。</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1.14支持</w:t>
      </w:r>
      <w:r>
        <w:rPr>
          <w:rFonts w:hint="eastAsia" w:ascii="宋体" w:hAnsi="宋体" w:cs="宋体"/>
          <w:b w:val="0"/>
          <w:bCs w:val="0"/>
          <w:color w:val="auto"/>
          <w:highlight w:val="none"/>
          <w:lang w:val="en-US" w:eastAsia="zh-CN"/>
        </w:rPr>
        <w:t>云盘客户端</w:t>
      </w:r>
      <w:r>
        <w:rPr>
          <w:rFonts w:hint="eastAsia" w:ascii="宋体" w:hAnsi="宋体" w:cs="宋体"/>
          <w:b w:val="0"/>
          <w:bCs w:val="0"/>
          <w:color w:val="auto"/>
          <w:highlight w:val="none"/>
          <w:lang w:val="zh-CN"/>
        </w:rPr>
        <w:t>超大文件（2G以上）上传并可断点续传。</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1.15支持将资源先批量上传至个人云盘中，然后在课程中引用。</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★1.16支持视频中任意时间点插入测验：上传视频后，可以在任意时间点插入测试题，包含单选题、多选题和对错题。</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★1.17支持视频中任意时间点插入图片或PPT：可以在任意时间点插入图片或PPT，同时支持对插入的内容在时间轴上随意拖动。插入的PPT可以任意拖动位置，并可以跟视频窗口进行切换。</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★1.18支持视频的虚拟剪辑，可以将视频文件按照课程的要求剪辑成适当长度。</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1.19提供可视化的公式编辑器，可以在线进行公式的录入与编辑。</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1.20支持在线录音功能，录完的声音可以直接在线播放。</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★1.21知识点拓展阅读功能，可以根据一个关键词自动生成相关知识点的知识树，插入到课程单元中，并自动推送知识点相关的图书、期刊、论文等资料。</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1.22支持课程管理，设置试读范围、设置学生导航栏目、克隆与映射课程等。</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1.23提供课程编辑的详细操作日志和学生退课日志，便于追溯问题、查找原因。</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1.24支持图书内页知识点的插入，可以插入书本中对某个知识点的详解的页面。</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1.25支持FLASH动画的插入，可以自动播放FLASH动画。</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1.26支持调查问卷的插入，可以自定义问卷的内容。</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1.27支持班级分配。</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1.28支持考试客户端功能，可利用客户端独立进行考试。</w:t>
      </w:r>
    </w:p>
    <w:p>
      <w:pPr>
        <w:pageBreakBefore w:val="0"/>
        <w:kinsoku/>
        <w:wordWrap/>
        <w:overflowPunct/>
        <w:topLinePunct w:val="0"/>
        <w:bidi w:val="0"/>
        <w:snapToGrid w:val="0"/>
        <w:spacing w:line="360" w:lineRule="auto"/>
        <w:ind w:firstLine="422" w:firstLineChars="200"/>
        <w:outlineLvl w:val="0"/>
        <w:rPr>
          <w:rFonts w:ascii="宋体" w:hAnsi="宋体" w:cs="宋体"/>
          <w:b/>
          <w:bCs/>
          <w:color w:val="auto"/>
          <w:highlight w:val="none"/>
          <w:lang w:val="zh-CN"/>
        </w:rPr>
      </w:pPr>
      <w:r>
        <w:rPr>
          <w:rFonts w:hint="eastAsia" w:ascii="宋体" w:hAnsi="宋体" w:cs="宋体"/>
          <w:b/>
          <w:bCs/>
          <w:color w:val="auto"/>
          <w:highlight w:val="none"/>
          <w:lang w:val="zh-CN"/>
        </w:rPr>
        <w:t>2. 教学互动功能模块</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2.1支持辅助教学、翻转课堂、纯网络学习、同步课堂等多种教学模式。</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★2.2以课程为中心，提供同步、异步的交流讨论工具，提供作业、考试、通知、讨论、资料共享等互动教学活动功能</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★2.3作业生生互评功能</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作业里简答题需具备生生互评的功能，设为互评的作业，学生间对作业相互打分，教师可参与最后的评估。</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2.4通知</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2.4.1教师可以在网络课程中发布课程通知。移动端能针对学校的组织机构、</w:t>
      </w:r>
      <w:r>
        <w:rPr>
          <w:rFonts w:hint="eastAsia" w:ascii="宋体" w:hAnsi="宋体" w:cs="宋体"/>
          <w:b w:val="0"/>
          <w:bCs w:val="0"/>
          <w:color w:val="auto"/>
          <w:highlight w:val="none"/>
          <w:lang w:val="en-US" w:eastAsia="zh-CN"/>
        </w:rPr>
        <w:t>课程里</w:t>
      </w:r>
      <w:r>
        <w:rPr>
          <w:rFonts w:hint="eastAsia" w:ascii="宋体" w:hAnsi="宋体" w:cs="宋体"/>
          <w:b w:val="0"/>
          <w:bCs w:val="0"/>
          <w:color w:val="auto"/>
          <w:highlight w:val="none"/>
          <w:lang w:val="zh-CN"/>
        </w:rPr>
        <w:t>班级等不同的范围发放通知，并能及时统计到已读和未读人员名单，并且可与</w:t>
      </w:r>
      <w:r>
        <w:rPr>
          <w:rFonts w:ascii="宋体" w:hAnsi="宋体" w:cs="宋体"/>
          <w:b w:val="0"/>
          <w:bCs w:val="0"/>
          <w:color w:val="auto"/>
          <w:highlight w:val="none"/>
        </w:rPr>
        <w:t>pc</w:t>
      </w:r>
      <w:r>
        <w:rPr>
          <w:rFonts w:hint="eastAsia" w:ascii="宋体" w:hAnsi="宋体" w:cs="宋体"/>
          <w:b w:val="0"/>
          <w:bCs w:val="0"/>
          <w:color w:val="auto"/>
          <w:highlight w:val="none"/>
        </w:rPr>
        <w:t>端</w:t>
      </w:r>
      <w:r>
        <w:rPr>
          <w:rFonts w:hint="eastAsia" w:ascii="宋体" w:hAnsi="宋体" w:cs="宋体"/>
          <w:b w:val="0"/>
          <w:bCs w:val="0"/>
          <w:color w:val="auto"/>
          <w:highlight w:val="none"/>
          <w:lang w:val="zh-CN"/>
        </w:rPr>
        <w:t>打通，无缝对接。</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2.4.2通知不仅限于文字，还可以附带各类文档，图片，视频等文件。</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2.5讨论</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学生和教师可以在讨论区中发起讨论，讨论可以跟某一个章节进行关联。教师可针对精彩的讨论或有重要意义的讨论做加精或置顶的操作，也可对非法讨论进行删除。移动端可以建立各种讨论小组，进行权限设置，小组成员可以发帖、回帖、置顶、观看小组的动态等。</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2.6笔记</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学生在学习某一个章节时，可以针对此章节做笔记。移动端可以记录笔记，并可以分享给单位、好友，也可以私有，同时可以查看好友的笔记，关注好友笔记。并能实时统计阅读次数、回复笔记等。</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2.7教师端提供课程管理、班级管理、教师团队管理、助教管理、统计、考试及作业管理、课程通告管理等。提供当前学习过程实时监管。</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2.8学生端实现学生友好学习体验、根据教师设定的课程学习进度，完整地学习网络课程、记录笔记方便复习、支持在线提问、反馈心得。支持师生、生生在线讨论交流、在线作业、在线考试，提供个人学习成绩单。</w:t>
      </w:r>
    </w:p>
    <w:p>
      <w:pPr>
        <w:pageBreakBefore w:val="0"/>
        <w:kinsoku/>
        <w:wordWrap/>
        <w:overflowPunct/>
        <w:topLinePunct w:val="0"/>
        <w:bidi w:val="0"/>
        <w:snapToGrid w:val="0"/>
        <w:spacing w:line="360" w:lineRule="auto"/>
        <w:ind w:firstLine="422" w:firstLineChars="200"/>
        <w:outlineLvl w:val="0"/>
        <w:rPr>
          <w:rFonts w:ascii="宋体" w:hAnsi="宋体" w:cs="宋体"/>
          <w:b/>
          <w:bCs/>
          <w:color w:val="auto"/>
          <w:highlight w:val="none"/>
          <w:lang w:val="zh-CN"/>
        </w:rPr>
      </w:pPr>
      <w:r>
        <w:rPr>
          <w:rFonts w:hint="eastAsia" w:ascii="宋体" w:hAnsi="宋体" w:cs="宋体"/>
          <w:b/>
          <w:bCs/>
          <w:color w:val="auto"/>
          <w:highlight w:val="none"/>
          <w:lang w:val="zh-CN"/>
        </w:rPr>
        <w:t>3. 学习过程控制与管理模块</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3.1人脸识别</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学生在平台进行课程学习过程时，可以进行人脸识别，通过认证才可以学习课程内容。</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3.2章节知识点学习推送控制</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教师可以针对每一个教学班对每个章节学习内容进行“开放、定时开放、闯关模式开放、关闭”等设置。“开放”，表示该章节可以学习。“定时开放”，表示该章节在设置的一个时间段内开放</w:t>
      </w:r>
      <w:r>
        <w:rPr>
          <w:rFonts w:hint="eastAsia" w:ascii="宋体" w:hAnsi="宋体" w:cs="宋体"/>
          <w:b w:val="0"/>
          <w:bCs w:val="0"/>
          <w:color w:val="auto"/>
          <w:highlight w:val="none"/>
          <w:lang w:val="en-US" w:eastAsia="zh-CN"/>
        </w:rPr>
        <w:t>学习</w:t>
      </w:r>
      <w:r>
        <w:rPr>
          <w:rFonts w:hint="eastAsia" w:ascii="宋体" w:hAnsi="宋体" w:cs="宋体"/>
          <w:b w:val="0"/>
          <w:bCs w:val="0"/>
          <w:color w:val="auto"/>
          <w:highlight w:val="none"/>
          <w:lang w:val="zh-CN"/>
        </w:rPr>
        <w:t>习。“闯关模式开放”，表示学生需要完成上一章节任务点内容后才能进行下一章节的学习内容。“关闭”，表示学生无法进行学习。</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3.3任务驱动式的进阶式学习</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教师可以将课程章节内视频、图书、作业等内容设置为任务点，要求学生必须完成，灵活控制学生学习的情况。学生端可以看到整个课程和每个章节需要完成的任务点情况，每完成一个任务，数量会自动减一。</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3.4学习过程的监督和跟踪</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可以跟踪记录并统计基于每个学生的学习进度、课程访问次数、作业和测试完成情况、视频观看时长、参加答疑讨论的情况等多项学习考核指标。</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3.5视频播放控制</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课程的教学视频文件具有“防拖拽和防窗口切换”功能，即视频播放的时候无法进行快进播放，打开章节学习的时候不能再打开其它网页，否则视频播放停止。同时在章节视频中可以插入测验题，作答正确，才能继续学习。</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3.6证书发放功能</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教师可以将学生的学习成绩导出，提取成绩达标的学生ID，并为其发放证书，学生可以将证书下载并打印。</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3.7课程复习模式</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教师在开课时可以设定课程的开课时间和结课时间，并且在课程结束后，可以自动开启复习模式，在复习模式中，学生可以复习，但学习记录不记入总成绩。</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3.8角色管理</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可建立学生、教师、管理员、超级管理员等角色，各级管理员也可以根据自身的需求创建角色和为角色指定权限。</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3.9权限管理</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可为每个导航功能点分配管理等不同的权限，管理员可以批量给用户分配、收回权限，具有权限整体移交功能。</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3.10机构和用户管理</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管理员可以增加、删除、修改组织机构树，可单个/批量增加、删除、修改、查找用户信息。</w:t>
      </w:r>
    </w:p>
    <w:p>
      <w:pPr>
        <w:pageBreakBefore w:val="0"/>
        <w:kinsoku/>
        <w:wordWrap/>
        <w:overflowPunct/>
        <w:topLinePunct w:val="0"/>
        <w:bidi w:val="0"/>
        <w:snapToGrid w:val="0"/>
        <w:spacing w:line="360" w:lineRule="auto"/>
        <w:ind w:firstLine="422" w:firstLineChars="200"/>
        <w:outlineLvl w:val="0"/>
        <w:rPr>
          <w:rFonts w:ascii="宋体" w:hAnsi="宋体" w:cs="宋体"/>
          <w:b/>
          <w:bCs/>
          <w:color w:val="auto"/>
          <w:highlight w:val="none"/>
          <w:lang w:val="zh-CN"/>
        </w:rPr>
      </w:pPr>
      <w:r>
        <w:rPr>
          <w:rFonts w:hint="eastAsia" w:ascii="宋体" w:hAnsi="宋体" w:cs="宋体"/>
          <w:b/>
          <w:bCs/>
          <w:color w:val="auto"/>
          <w:highlight w:val="none"/>
          <w:lang w:val="zh-CN"/>
        </w:rPr>
        <w:t>4. 教学资源管理模块</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教学资源管理包括上传课程资源、将资源共享给学生、设置资源适用</w:t>
      </w:r>
      <w:r>
        <w:rPr>
          <w:rFonts w:hint="eastAsia" w:ascii="宋体" w:hAnsi="宋体" w:cs="宋体"/>
          <w:b w:val="0"/>
          <w:bCs w:val="0"/>
          <w:color w:val="auto"/>
          <w:highlight w:val="none"/>
          <w:lang w:val="en-US" w:eastAsia="zh-CN"/>
        </w:rPr>
        <w:t>班级</w:t>
      </w:r>
      <w:r>
        <w:rPr>
          <w:rFonts w:hint="eastAsia" w:ascii="宋体" w:hAnsi="宋体" w:cs="宋体"/>
          <w:b w:val="0"/>
          <w:bCs w:val="0"/>
          <w:color w:val="auto"/>
          <w:highlight w:val="none"/>
          <w:lang w:val="zh-CN"/>
        </w:rPr>
        <w:t>、是否允许下等功能。</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4.1教学资料</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教师可以对自己所负责的课程的资料进行管理，建立课程文件的目录层级，同时教师可以根据课程需要，赋予一人或多人一定权限，共同参于课程资源建设，即委派角色。教师可以直接从资源库检索，添加相关在线资源。</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4.2教材教参</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★教师可以从备课资源库中查找并添加课程相关的教学参考书，推荐给学生直接进行在线阅读。</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4.3推荐视频</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★教师可以从备课资源库中查找并添加课程相关的学术视频，推荐给学生直接进行在线观看。</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4.4题库管理</w:t>
      </w:r>
    </w:p>
    <w:p>
      <w:pPr>
        <w:pageBreakBefore w:val="0"/>
        <w:kinsoku/>
        <w:wordWrap/>
        <w:overflowPunct/>
        <w:topLinePunct w:val="0"/>
        <w:bidi w:val="0"/>
        <w:snapToGrid w:val="0"/>
        <w:spacing w:line="360" w:lineRule="auto"/>
        <w:ind w:firstLine="420" w:firstLineChars="200"/>
        <w:rPr>
          <w:rFonts w:hint="eastAsia" w:ascii="宋体" w:hAnsi="宋体" w:cs="宋体"/>
          <w:b w:val="0"/>
          <w:bCs w:val="0"/>
          <w:color w:val="auto"/>
          <w:highlight w:val="none"/>
          <w:lang w:val="zh-CN"/>
        </w:rPr>
      </w:pPr>
      <w:r>
        <w:rPr>
          <w:rFonts w:hint="eastAsia" w:ascii="宋体" w:hAnsi="宋体" w:cs="宋体"/>
          <w:b w:val="0"/>
          <w:bCs w:val="0"/>
          <w:color w:val="auto"/>
          <w:highlight w:val="none"/>
          <w:lang w:val="zh-CN"/>
        </w:rPr>
        <w:t>4.4.1教师可以创建课程试题库，对试题库进行管理，包括添加、修改、删除、查询、浏览等功能。题型包括单选、多选、判断、简答、填空、案例分析、计算题、连线题、投票题、程序题、口语题等，题的属性包括题型、难度等。题库导入支持excel及word格式的模板方式导入。</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4.4.2★题库导入</w:t>
      </w:r>
      <w:r>
        <w:rPr>
          <w:rFonts w:hint="eastAsia" w:ascii="宋体" w:hAnsi="宋体" w:cs="宋体"/>
          <w:b w:val="0"/>
          <w:bCs w:val="0"/>
          <w:color w:val="auto"/>
          <w:highlight w:val="none"/>
          <w:lang w:val="zh-CN" w:eastAsia="zh-CN"/>
        </w:rPr>
        <w:t>除了</w:t>
      </w:r>
      <w:r>
        <w:rPr>
          <w:rFonts w:hint="eastAsia" w:ascii="宋体" w:hAnsi="宋体" w:cs="宋体"/>
          <w:b w:val="0"/>
          <w:bCs w:val="0"/>
          <w:color w:val="auto"/>
          <w:highlight w:val="none"/>
          <w:lang w:val="zh-CN"/>
        </w:rPr>
        <w:t>支持excel及word格式的模板方式导入</w:t>
      </w:r>
      <w:r>
        <w:rPr>
          <w:rFonts w:hint="eastAsia" w:ascii="宋体" w:hAnsi="宋体" w:cs="宋体"/>
          <w:b w:val="0"/>
          <w:bCs w:val="0"/>
          <w:color w:val="auto"/>
          <w:highlight w:val="none"/>
          <w:lang w:val="zh-CN" w:eastAsia="zh-CN"/>
        </w:rPr>
        <w:t>外，还可以支持</w:t>
      </w:r>
      <w:r>
        <w:rPr>
          <w:rFonts w:hint="default" w:ascii="宋体" w:hAnsi="宋体" w:cs="宋体"/>
          <w:b w:val="0"/>
          <w:bCs w:val="0"/>
          <w:color w:val="auto"/>
          <w:highlight w:val="none"/>
          <w:lang w:val="en-US" w:eastAsia="zh-CN"/>
        </w:rPr>
        <w:t>word</w:t>
      </w:r>
      <w:r>
        <w:rPr>
          <w:rFonts w:hint="eastAsia" w:ascii="宋体" w:hAnsi="宋体" w:cs="宋体"/>
          <w:b w:val="0"/>
          <w:bCs w:val="0"/>
          <w:color w:val="auto"/>
          <w:highlight w:val="none"/>
          <w:lang w:val="en-US" w:eastAsia="zh-CN"/>
        </w:rPr>
        <w:t>智能识别导入，直接将填空题、选择题等基础题型的</w:t>
      </w:r>
      <w:r>
        <w:rPr>
          <w:rFonts w:hint="default" w:ascii="宋体" w:hAnsi="宋体" w:cs="宋体"/>
          <w:b w:val="0"/>
          <w:bCs w:val="0"/>
          <w:color w:val="auto"/>
          <w:highlight w:val="none"/>
          <w:lang w:val="en-US" w:eastAsia="zh-CN"/>
        </w:rPr>
        <w:t>word</w:t>
      </w:r>
      <w:r>
        <w:rPr>
          <w:rFonts w:hint="eastAsia" w:ascii="宋体" w:hAnsi="宋体" w:cs="宋体"/>
          <w:b w:val="0"/>
          <w:bCs w:val="0"/>
          <w:color w:val="auto"/>
          <w:highlight w:val="none"/>
          <w:lang w:val="en-US" w:eastAsia="zh-CN"/>
        </w:rPr>
        <w:t>进行导入识别，</w:t>
      </w:r>
      <w:r>
        <w:rPr>
          <w:rFonts w:hint="default" w:ascii="宋体" w:hAnsi="宋体" w:cs="宋体"/>
          <w:b w:val="0"/>
          <w:bCs w:val="0"/>
          <w:color w:val="auto"/>
          <w:highlight w:val="none"/>
          <w:lang w:val="en-US" w:eastAsia="zh-CN"/>
        </w:rPr>
        <w:t>不用二次修改成模板。</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4.5作业管理</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教师可以创建作业，形成课程作业库，可以对作业库进行管理，设置发布作业的时间及相关要求。</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4.5.1作业可以是来源于题库、作业库或自定义，每次布置作业，自定义的题目需具有保存到题库的功能。</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4.5.2教师可以随时查看学生作业的完成情况并对作业进行线上批阅打分，学生在线提交作业后，对于客观题系统能自动判分。线下作业教师可以将成绩登记到线上，</w:t>
      </w:r>
      <w:r>
        <w:rPr>
          <w:rFonts w:hint="eastAsia" w:ascii="宋体" w:hAnsi="宋体" w:cs="宋体"/>
          <w:b w:val="0"/>
          <w:bCs w:val="0"/>
          <w:color w:val="auto"/>
          <w:highlight w:val="none"/>
          <w:lang w:val="en-US" w:eastAsia="zh-CN"/>
        </w:rPr>
        <w:t>汇总成综合成绩</w:t>
      </w:r>
      <w:r>
        <w:rPr>
          <w:rFonts w:hint="eastAsia" w:ascii="宋体" w:hAnsi="宋体" w:cs="宋体"/>
          <w:b w:val="0"/>
          <w:bCs w:val="0"/>
          <w:color w:val="auto"/>
          <w:highlight w:val="none"/>
          <w:lang w:val="zh-CN"/>
        </w:rPr>
        <w:t>，了解学生的学习情况。</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4.5.3作业支持文档、附件、视频、音频等形式，同时音视频支持在线播放功能。</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4.5.4支持填空题是否为客观题的设定，当设填空题为客观题，系统可自动对其批阅，同时，支持及格分数的设定，并可设置是否允许学生重做。</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4.5.5作业详细统计，可以查看某份作业单个选项的选择人数。</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4.5.6对于同一套作业，可以设置题目乱序，防止学生作弊。</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4.5.7可以根据任务点的完成情况设置是否允许学生做作业。</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4.5.8教师可随时设定作业答案是否公开、作业分数是否公开，可设定是否防止粘贴的功能。</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4.5.9作业支持随机出题模式，创建作业时可以从选择的题目中随机选取若干道，从而实现每个学生领取的作业有一些差别。对于未提交作业的学生，可以进行督促，发放督促通知。</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4.5.10主观题支持跟教师提供的答案相似度查询功能。</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4.5.11作业需具备指定发送给某个人的功能，实现有针对性的教学管理。</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4.6测验与考试</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具有从题库随机生成新的试卷的功能，教师可以对试卷中的试题进行添加、修改、删除、任意排序、预览等功能，还可以对试题设定分值。试卷可多次重复使用。</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4.6.1能为学生提供限时和不限时的考试，能按照设定的日期和时间自动开放或关闭测验和考试。</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4.6.2需具备随机组卷功能，组卷可以从题库中不同文件夹选择，并可以随机组若干套试卷发放给学生。</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4.6.3教师可以发起一个测验或考试，学生可以在线答题，教师可以随时查看学生测验的完成情况，学生解答后教师可对测验进行线上批阅打分，对于客观题系统能自动判分。测验、考试题目可以是来源于题库、试卷或自定义。</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4.6.4可对每一次测验查看详细的答题情况，每一道题答对、答错的人数，每一个选项的选择人数等。</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4.6.5支持设置任务学习完成的情况作为是否能参加考试的条件。</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4.6.6对于同一套试卷，可以设置考题乱序，防止学生作弊。</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4.6.7可对考试进行是否允许查看答案及分数的设定，避免学生因答题时间不同而产生作弊现象。</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4.6.8具备设定随机验证码的功能，学生进入考试前需输入验证码。</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4.6.9可以设置只允许指定的IP参加考试</w:t>
      </w:r>
    </w:p>
    <w:p>
      <w:pPr>
        <w:pageBreakBefore w:val="0"/>
        <w:kinsoku/>
        <w:wordWrap/>
        <w:overflowPunct/>
        <w:topLinePunct w:val="0"/>
        <w:bidi w:val="0"/>
        <w:snapToGrid w:val="0"/>
        <w:spacing w:line="360" w:lineRule="auto"/>
        <w:ind w:firstLine="422" w:firstLineChars="200"/>
        <w:outlineLvl w:val="0"/>
        <w:rPr>
          <w:rFonts w:ascii="宋体" w:hAnsi="宋体" w:cs="宋体"/>
          <w:b/>
          <w:bCs/>
          <w:color w:val="auto"/>
          <w:highlight w:val="none"/>
          <w:lang w:val="zh-CN"/>
        </w:rPr>
      </w:pPr>
      <w:r>
        <w:rPr>
          <w:rFonts w:hint="eastAsia" w:ascii="宋体" w:hAnsi="宋体" w:cs="宋体"/>
          <w:b/>
          <w:bCs/>
          <w:color w:val="auto"/>
          <w:highlight w:val="none"/>
          <w:lang w:val="zh-CN"/>
        </w:rPr>
        <w:t>5. 统计功能模块</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5.1分布图</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rPr>
      </w:pPr>
      <w:r>
        <w:rPr>
          <w:rFonts w:ascii="宋体" w:hAnsi="宋体" w:cs="宋体"/>
          <w:b w:val="0"/>
          <w:bCs w:val="0"/>
          <w:color w:val="auto"/>
          <w:highlight w:val="none"/>
        </w:rPr>
        <w:t>可以对任务点、访问数、学生数、讨论数进行统计，并可以查看成绩、作业、章节测验等详细内容；</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5.2综合统计</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rPr>
      </w:pPr>
      <w:r>
        <w:rPr>
          <w:rFonts w:ascii="宋体" w:hAnsi="宋体" w:cs="宋体"/>
          <w:b w:val="0"/>
          <w:bCs w:val="0"/>
          <w:color w:val="auto"/>
          <w:highlight w:val="none"/>
        </w:rPr>
        <w:t xml:space="preserve">可以查看一门课程的任务点分布及总体成绩分布；可以按终端统计学生的访问情况，并以图表的形式进行展现。      </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5.3成绩统计</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rPr>
      </w:pPr>
      <w:r>
        <w:rPr>
          <w:rFonts w:ascii="宋体" w:hAnsi="宋体" w:cs="宋体"/>
          <w:b w:val="0"/>
          <w:bCs w:val="0"/>
          <w:color w:val="auto"/>
          <w:highlight w:val="none"/>
        </w:rPr>
        <w:t>可对课程中的视频、作业、测验、在线时长等做权重设置，可以针对作业模块做细化到每一份作业的权重设置。可统计所有学生的各项成绩、综合成绩及排名；教师可以设置是否允许学生查看成绩，如果允许，学生端可以查看自己的各项成绩及综合排名，同时其他同学的成绩可设为保秘状态；同时，可以导入线下成绩，也可加入课堂互动的成绩如签到、课堂互动、阅读、直播等课堂成绩，保证学生的成绩更加全面。</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5.4章节测验统计</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rPr>
      </w:pPr>
      <w:r>
        <w:rPr>
          <w:rFonts w:ascii="宋体" w:hAnsi="宋体" w:cs="宋体"/>
          <w:b w:val="0"/>
          <w:bCs w:val="0"/>
          <w:color w:val="auto"/>
          <w:highlight w:val="none"/>
        </w:rPr>
        <w:t>可以统计章节测验中全部已交人数、未交人数及待批人数，并且可以对选择题统计出各选项的选择人数，并可以柱状图、饼图、条形图、折线图的形式呈现。</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5.5视频观看统计</w:t>
      </w:r>
    </w:p>
    <w:p>
      <w:pPr>
        <w:pageBreakBefore w:val="0"/>
        <w:tabs>
          <w:tab w:val="left" w:pos="420"/>
        </w:tabs>
        <w:kinsoku/>
        <w:wordWrap/>
        <w:overflowPunct/>
        <w:topLinePunct w:val="0"/>
        <w:bidi w:val="0"/>
        <w:spacing w:line="360" w:lineRule="auto"/>
        <w:ind w:firstLine="420" w:firstLineChars="200"/>
        <w:rPr>
          <w:rFonts w:ascii="宋体" w:hAnsi="宋体" w:cs="宋体"/>
          <w:b w:val="0"/>
          <w:bCs w:val="0"/>
          <w:color w:val="auto"/>
          <w:szCs w:val="21"/>
          <w:highlight w:val="none"/>
        </w:rPr>
      </w:pPr>
      <w:r>
        <w:rPr>
          <w:rFonts w:ascii="宋体" w:hAnsi="宋体" w:cs="宋体"/>
          <w:b w:val="0"/>
          <w:bCs w:val="0"/>
          <w:color w:val="auto"/>
          <w:szCs w:val="21"/>
          <w:highlight w:val="none"/>
        </w:rPr>
        <w:t>可以统计任何人观看某一视频的总观看时长。</w:t>
      </w:r>
    </w:p>
    <w:p>
      <w:pPr>
        <w:pageBreakBefore w:val="0"/>
        <w:tabs>
          <w:tab w:val="left" w:pos="420"/>
        </w:tabs>
        <w:kinsoku/>
        <w:wordWrap/>
        <w:overflowPunct/>
        <w:topLinePunct w:val="0"/>
        <w:bidi w:val="0"/>
        <w:spacing w:line="360" w:lineRule="auto"/>
        <w:ind w:firstLine="420" w:firstLineChars="200"/>
        <w:rPr>
          <w:rFonts w:ascii="宋体" w:hAnsi="宋体" w:cs="宋体"/>
          <w:b w:val="0"/>
          <w:bCs w:val="0"/>
          <w:color w:val="auto"/>
          <w:szCs w:val="21"/>
          <w:highlight w:val="none"/>
        </w:rPr>
      </w:pPr>
      <w:r>
        <w:rPr>
          <w:rFonts w:ascii="宋体" w:hAnsi="宋体" w:cs="宋体"/>
          <w:b w:val="0"/>
          <w:bCs w:val="0"/>
          <w:color w:val="auto"/>
          <w:szCs w:val="21"/>
          <w:highlight w:val="none"/>
        </w:rPr>
        <w:t>可以统计每门课程的学生的视频观看详情，哪些学生看了，看的时长，观看日志，哪些学生没看。</w:t>
      </w:r>
    </w:p>
    <w:p>
      <w:pPr>
        <w:pageBreakBefore w:val="0"/>
        <w:tabs>
          <w:tab w:val="left" w:pos="420"/>
        </w:tabs>
        <w:kinsoku/>
        <w:wordWrap/>
        <w:overflowPunct/>
        <w:topLinePunct w:val="0"/>
        <w:bidi w:val="0"/>
        <w:spacing w:line="360" w:lineRule="auto"/>
        <w:ind w:firstLine="420" w:firstLineChars="200"/>
        <w:rPr>
          <w:rFonts w:ascii="宋体" w:hAnsi="宋体" w:cs="宋体"/>
          <w:b w:val="0"/>
          <w:bCs w:val="0"/>
          <w:color w:val="auto"/>
          <w:highlight w:val="none"/>
          <w:lang w:val="zh-CN"/>
        </w:rPr>
      </w:pPr>
      <w:r>
        <w:rPr>
          <w:rFonts w:ascii="宋体" w:hAnsi="宋体" w:cs="宋体"/>
          <w:b w:val="0"/>
          <w:bCs w:val="0"/>
          <w:color w:val="auto"/>
          <w:szCs w:val="21"/>
          <w:highlight w:val="none"/>
        </w:rPr>
        <w:t>可以统计视频中测验的答题情况，标记测验的位置、测验的数量、答错的次数，从而更好的了解学生的学习情况。</w:t>
      </w:r>
    </w:p>
    <w:p>
      <w:pPr>
        <w:pageBreakBefore w:val="0"/>
        <w:kinsoku/>
        <w:wordWrap/>
        <w:overflowPunct/>
        <w:topLinePunct w:val="0"/>
        <w:bidi w:val="0"/>
        <w:snapToGrid w:val="0"/>
        <w:spacing w:line="360" w:lineRule="auto"/>
        <w:ind w:firstLine="422" w:firstLineChars="200"/>
        <w:outlineLvl w:val="0"/>
        <w:rPr>
          <w:rFonts w:ascii="宋体" w:hAnsi="宋体" w:cs="宋体"/>
          <w:b/>
          <w:bCs/>
          <w:color w:val="auto"/>
          <w:highlight w:val="none"/>
          <w:lang w:val="zh-CN"/>
        </w:rPr>
      </w:pPr>
      <w:r>
        <w:rPr>
          <w:rFonts w:hint="eastAsia" w:ascii="宋体" w:hAnsi="宋体" w:cs="宋体"/>
          <w:b/>
          <w:bCs/>
          <w:color w:val="auto"/>
          <w:highlight w:val="none"/>
          <w:lang w:val="zh-CN"/>
        </w:rPr>
        <w:t>6. 网络学习空间模块</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★6.1学习空间采用APP架构，所有学习服务APP化，可以把我们提供的常用的APP应用安装到自己的学习空间主页中，并可以管理自己安装的应用。</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★6.2学习空间至少包含以下APP：</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6.1.1云盘</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可以将文件上传至云盘中，随时随地进行下载，并可以在课程建设时引用云盘的资源。提供一个PC版客户端，可以批量上传资源。</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6.1.2小组</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小组是就某一类话题或兴趣点（例如计算机、电影、电子产品等）跟别人交流的场所。用户可以自己创建小组，可以设定小组名称、介绍、加入的权限，权限包括公开加入、邀请加入、审批加入等。用户可以浏览和发现小组。进入小组后，可以参与小组的讨论，查看小组成员。</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6.1.</w:t>
      </w:r>
      <w:r>
        <w:rPr>
          <w:rFonts w:ascii="宋体" w:hAnsi="宋体" w:cs="宋体"/>
          <w:b w:val="0"/>
          <w:bCs w:val="0"/>
          <w:color w:val="auto"/>
          <w:highlight w:val="none"/>
        </w:rPr>
        <w:t>3</w:t>
      </w:r>
      <w:r>
        <w:rPr>
          <w:rFonts w:hint="eastAsia" w:ascii="宋体" w:hAnsi="宋体" w:cs="宋体"/>
          <w:b w:val="0"/>
          <w:bCs w:val="0"/>
          <w:color w:val="auto"/>
          <w:highlight w:val="none"/>
          <w:lang w:val="zh-CN"/>
        </w:rPr>
        <w:t xml:space="preserve"> PBL教学</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PBL教学是以问题为基础、以学生为中心、教师为引导、学生自主学习的教学模式。以下功能便于开展此类教学。</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6.1.</w:t>
      </w:r>
      <w:r>
        <w:rPr>
          <w:rFonts w:ascii="宋体" w:hAnsi="宋体" w:cs="宋体"/>
          <w:b w:val="0"/>
          <w:bCs w:val="0"/>
          <w:color w:val="auto"/>
          <w:highlight w:val="none"/>
        </w:rPr>
        <w:t>3</w:t>
      </w:r>
      <w:r>
        <w:rPr>
          <w:rFonts w:hint="eastAsia" w:ascii="宋体" w:hAnsi="宋体" w:cs="宋体"/>
          <w:b w:val="0"/>
          <w:bCs w:val="0"/>
          <w:color w:val="auto"/>
          <w:highlight w:val="none"/>
          <w:lang w:val="zh-CN"/>
        </w:rPr>
        <w:t>.1分组管理</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与本项目的学生数据、以及教师数据同步；支持自动随机分组和手动分组方式，并能够有效防止某学生重复分组；可查看历史小组的小组成员信息、小组历史文件、小组历史论坛内容、小组历史评论等；支持分配小组教师，教师同时允许兼任多个小组；其中小组教师只允许是课程教师、共建教师以及有相应权限的助教。</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6.1.</w:t>
      </w:r>
      <w:r>
        <w:rPr>
          <w:rFonts w:ascii="宋体" w:hAnsi="宋体" w:cs="宋体"/>
          <w:b w:val="0"/>
          <w:bCs w:val="0"/>
          <w:color w:val="auto"/>
          <w:highlight w:val="none"/>
        </w:rPr>
        <w:t>3</w:t>
      </w:r>
      <w:r>
        <w:rPr>
          <w:rFonts w:hint="eastAsia" w:ascii="宋体" w:hAnsi="宋体" w:cs="宋体"/>
          <w:b w:val="0"/>
          <w:bCs w:val="0"/>
          <w:color w:val="auto"/>
          <w:highlight w:val="none"/>
          <w:lang w:val="zh-CN"/>
        </w:rPr>
        <w:t>.2小组文件管理</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小组教师可以上传小组文件；可下载某时间段内某小组所有文件。</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6.1.</w:t>
      </w:r>
      <w:r>
        <w:rPr>
          <w:rFonts w:ascii="宋体" w:hAnsi="宋体" w:cs="宋体"/>
          <w:b w:val="0"/>
          <w:bCs w:val="0"/>
          <w:color w:val="auto"/>
          <w:highlight w:val="none"/>
        </w:rPr>
        <w:t>3</w:t>
      </w:r>
      <w:r>
        <w:rPr>
          <w:rFonts w:hint="eastAsia" w:ascii="宋体" w:hAnsi="宋体" w:cs="宋体"/>
          <w:b w:val="0"/>
          <w:bCs w:val="0"/>
          <w:color w:val="auto"/>
          <w:highlight w:val="none"/>
          <w:lang w:val="zh-CN"/>
        </w:rPr>
        <w:t>.3小组论坛</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支持小组教师在本小组内发表论题、维护论题、回复论题；支持小组学生在本小组内发表论题、回复论题；允许小组教师和小组学生查看其他小组论题。</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6.1.</w:t>
      </w:r>
      <w:r>
        <w:rPr>
          <w:rFonts w:ascii="宋体" w:hAnsi="宋体" w:cs="宋体"/>
          <w:b w:val="0"/>
          <w:bCs w:val="0"/>
          <w:color w:val="auto"/>
          <w:highlight w:val="none"/>
        </w:rPr>
        <w:t>3</w:t>
      </w:r>
      <w:r>
        <w:rPr>
          <w:rFonts w:hint="eastAsia" w:ascii="宋体" w:hAnsi="宋体" w:cs="宋体"/>
          <w:b w:val="0"/>
          <w:bCs w:val="0"/>
          <w:color w:val="auto"/>
          <w:highlight w:val="none"/>
          <w:lang w:val="zh-CN"/>
        </w:rPr>
        <w:t>.4小组评价</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允许课程教师查看所有小组的评价；评价表格既提供量化指标评价也需要提供组长评语录入；支持教师对本组学生的评价；支持学生对本组其他学生的评价，支持学生自评；其中互评中学生姓名匿名显示；可查看本次以及历次评价结果及统计。</w:t>
      </w:r>
    </w:p>
    <w:p>
      <w:pPr>
        <w:pageBreakBefore w:val="0"/>
        <w:kinsoku/>
        <w:wordWrap/>
        <w:overflowPunct/>
        <w:topLinePunct w:val="0"/>
        <w:bidi w:val="0"/>
        <w:snapToGrid w:val="0"/>
        <w:spacing w:line="360" w:lineRule="auto"/>
        <w:ind w:firstLine="422" w:firstLineChars="200"/>
        <w:outlineLvl w:val="0"/>
        <w:rPr>
          <w:rFonts w:ascii="宋体" w:hAnsi="宋体" w:cs="宋体"/>
          <w:b/>
          <w:bCs/>
          <w:color w:val="auto"/>
          <w:highlight w:val="none"/>
          <w:lang w:val="zh-CN"/>
        </w:rPr>
      </w:pPr>
      <w:r>
        <w:rPr>
          <w:rFonts w:hint="eastAsia" w:ascii="宋体" w:hAnsi="宋体" w:cs="宋体"/>
          <w:b/>
          <w:bCs/>
          <w:color w:val="auto"/>
          <w:highlight w:val="none"/>
          <w:lang w:val="zh-CN"/>
        </w:rPr>
        <w:t>7. 教学管理评估模块</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实现对教学过程中影响质量的各环节进行全员、全程、全面系统地监督、控制与评估，包括教师教学工作评估、课程评估、学生评估、学院评估。通过这些评估收集教学运行过程中的各类信息，为学校的教学管理与决策服务。</w:t>
      </w:r>
    </w:p>
    <w:p>
      <w:pPr>
        <w:pageBreakBefore w:val="0"/>
        <w:kinsoku/>
        <w:wordWrap/>
        <w:overflowPunct/>
        <w:topLinePunct w:val="0"/>
        <w:bidi w:val="0"/>
        <w:snapToGrid w:val="0"/>
        <w:spacing w:line="360" w:lineRule="auto"/>
        <w:ind w:firstLine="420" w:firstLineChars="200"/>
        <w:outlineLvl w:val="0"/>
        <w:rPr>
          <w:rFonts w:ascii="宋体" w:hAnsi="宋体" w:cs="宋体"/>
          <w:b w:val="0"/>
          <w:bCs w:val="0"/>
          <w:color w:val="auto"/>
          <w:highlight w:val="none"/>
          <w:lang w:val="zh-CN"/>
        </w:rPr>
      </w:pPr>
      <w:r>
        <w:rPr>
          <w:rFonts w:hint="eastAsia" w:ascii="宋体" w:hAnsi="宋体" w:cs="宋体"/>
          <w:b w:val="0"/>
          <w:bCs w:val="0"/>
          <w:color w:val="auto"/>
          <w:highlight w:val="none"/>
          <w:lang w:val="zh-CN"/>
        </w:rPr>
        <w:t>7.1 教学统计</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7.1.1可以按院系统计教师课程教学情况排行，比如发布章节测验数、发布作业数、发布考试数等 ；</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7.1.2可以查看某时间段内教师课程教学情况，支持查看某一个人的详细建课信息。</w:t>
      </w:r>
    </w:p>
    <w:p>
      <w:pPr>
        <w:pageBreakBefore w:val="0"/>
        <w:kinsoku/>
        <w:wordWrap/>
        <w:overflowPunct/>
        <w:topLinePunct w:val="0"/>
        <w:bidi w:val="0"/>
        <w:snapToGrid w:val="0"/>
        <w:spacing w:line="360" w:lineRule="auto"/>
        <w:ind w:firstLine="420" w:firstLineChars="200"/>
        <w:outlineLvl w:val="0"/>
        <w:rPr>
          <w:rFonts w:ascii="宋体" w:hAnsi="宋体" w:cs="宋体"/>
          <w:b w:val="0"/>
          <w:bCs w:val="0"/>
          <w:color w:val="auto"/>
          <w:highlight w:val="none"/>
          <w:lang w:val="zh-CN"/>
        </w:rPr>
      </w:pPr>
      <w:r>
        <w:rPr>
          <w:rFonts w:hint="eastAsia" w:ascii="宋体" w:hAnsi="宋体" w:cs="宋体"/>
          <w:b w:val="0"/>
          <w:bCs w:val="0"/>
          <w:color w:val="auto"/>
          <w:highlight w:val="none"/>
          <w:lang w:val="zh-CN"/>
        </w:rPr>
        <w:t>7.2 学习统计</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可以查看某一学生的详细学习信息。</w:t>
      </w:r>
    </w:p>
    <w:p>
      <w:pPr>
        <w:pageBreakBefore w:val="0"/>
        <w:kinsoku/>
        <w:wordWrap/>
        <w:overflowPunct/>
        <w:topLinePunct w:val="0"/>
        <w:bidi w:val="0"/>
        <w:snapToGrid w:val="0"/>
        <w:spacing w:line="360" w:lineRule="auto"/>
        <w:ind w:firstLine="420" w:firstLineChars="200"/>
        <w:outlineLvl w:val="0"/>
        <w:rPr>
          <w:rFonts w:ascii="宋体" w:hAnsi="宋体" w:cs="宋体"/>
          <w:b w:val="0"/>
          <w:bCs w:val="0"/>
          <w:color w:val="auto"/>
          <w:highlight w:val="none"/>
          <w:lang w:val="zh-CN"/>
        </w:rPr>
      </w:pPr>
      <w:r>
        <w:rPr>
          <w:rFonts w:hint="eastAsia" w:ascii="宋体" w:hAnsi="宋体" w:cs="宋体"/>
          <w:b w:val="0"/>
          <w:bCs w:val="0"/>
          <w:color w:val="auto"/>
          <w:highlight w:val="none"/>
          <w:lang w:val="zh-CN"/>
        </w:rPr>
        <w:t>7.3 课程统计</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★7.3.1可以统计平台上创建的全部网络课程的基本信息及建设情况，如课程章节数、学习课程总人数、任务点数、章节资源数、试卷数、试题数、作业数、讨论数等从而对比老师的建课情况；</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7.3.2可通过课程创建时间、教师所属院系、课程名称等关键字对课程进行检索。</w:t>
      </w:r>
    </w:p>
    <w:p>
      <w:pPr>
        <w:pageBreakBefore w:val="0"/>
        <w:kinsoku/>
        <w:wordWrap/>
        <w:overflowPunct/>
        <w:topLinePunct w:val="0"/>
        <w:bidi w:val="0"/>
        <w:snapToGrid w:val="0"/>
        <w:spacing w:line="360" w:lineRule="auto"/>
        <w:ind w:firstLine="420" w:firstLineChars="200"/>
        <w:outlineLvl w:val="0"/>
        <w:rPr>
          <w:rFonts w:ascii="宋体" w:hAnsi="宋体" w:cs="宋体"/>
          <w:b w:val="0"/>
          <w:bCs w:val="0"/>
          <w:color w:val="auto"/>
          <w:highlight w:val="none"/>
          <w:lang w:val="zh-CN"/>
        </w:rPr>
      </w:pPr>
      <w:r>
        <w:rPr>
          <w:rFonts w:hint="eastAsia" w:ascii="宋体" w:hAnsi="宋体" w:cs="宋体"/>
          <w:b w:val="0"/>
          <w:bCs w:val="0"/>
          <w:color w:val="auto"/>
          <w:highlight w:val="none"/>
          <w:lang w:val="zh-CN"/>
        </w:rPr>
        <w:t>7.4 访问量统计</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可以按照不同的时间段统计访问人次，不同终端的访问比例。</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★7.</w:t>
      </w:r>
      <w:r>
        <w:rPr>
          <w:rFonts w:hAnsi="宋体" w:cs="宋体"/>
          <w:b w:val="0"/>
          <w:bCs w:val="0"/>
          <w:color w:val="auto"/>
          <w:highlight w:val="none"/>
        </w:rPr>
        <w:t>5</w:t>
      </w:r>
      <w:r>
        <w:rPr>
          <w:rFonts w:hint="eastAsia" w:ascii="宋体" w:hAnsi="宋体" w:cs="宋体"/>
          <w:b w:val="0"/>
          <w:bCs w:val="0"/>
          <w:color w:val="auto"/>
          <w:highlight w:val="none"/>
          <w:lang w:val="zh-CN"/>
        </w:rPr>
        <w:t xml:space="preserve"> 大数据分析</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提供平台各种活动的数据分析，比如：近一个月最受欢迎的课程前十名、使用终端比、活跃度最高的院系前十名、活跃度最高的用户前十名、近一个月每天的活跃度及频繁的活动类型等</w:t>
      </w:r>
    </w:p>
    <w:p>
      <w:pPr>
        <w:pageBreakBefore w:val="0"/>
        <w:kinsoku/>
        <w:wordWrap/>
        <w:overflowPunct/>
        <w:topLinePunct w:val="0"/>
        <w:bidi w:val="0"/>
        <w:snapToGrid w:val="0"/>
        <w:spacing w:line="360" w:lineRule="auto"/>
        <w:ind w:firstLine="422" w:firstLineChars="200"/>
        <w:outlineLvl w:val="0"/>
        <w:rPr>
          <w:rFonts w:ascii="宋体" w:hAnsi="宋体" w:cs="宋体"/>
          <w:b/>
          <w:bCs/>
          <w:color w:val="auto"/>
          <w:highlight w:val="none"/>
          <w:lang w:val="zh-CN"/>
        </w:rPr>
      </w:pPr>
      <w:r>
        <w:rPr>
          <w:rFonts w:hint="eastAsia" w:ascii="宋体" w:hAnsi="宋体" w:cs="宋体"/>
          <w:b/>
          <w:bCs/>
          <w:color w:val="auto"/>
          <w:highlight w:val="none"/>
          <w:lang w:val="zh-CN"/>
        </w:rPr>
        <w:t>8. 网络教学门户网站模块</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可提供充分展示学校教学特色的教学门户网站，可以实现新闻公告动态显示、精品课程推荐、热门课程排行、教学资源排行以及学校的教学组织与开设的课程展示。具有校园代表性的大图片展示区。</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8.1具备信息发布、访问统计分析、统一检索等功能。</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8.2具备精品课程的展示以及后台推荐控制功能。</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8.3具备多种资源排行展示，如精品课程排行、课程网站排行、课程资料排行等。</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8.4展示本校教学组织体系及本校课程。</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8.5可以对本校课程进行搜索。</w:t>
      </w:r>
    </w:p>
    <w:p>
      <w:pPr>
        <w:pageBreakBefore w:val="0"/>
        <w:kinsoku/>
        <w:wordWrap/>
        <w:overflowPunct/>
        <w:topLinePunct w:val="0"/>
        <w:bidi w:val="0"/>
        <w:snapToGrid w:val="0"/>
        <w:spacing w:line="360" w:lineRule="auto"/>
        <w:ind w:firstLine="422" w:firstLineChars="200"/>
        <w:rPr>
          <w:rFonts w:ascii="宋体" w:hAnsi="宋体" w:cs="宋体"/>
          <w:b/>
          <w:bCs/>
          <w:color w:val="auto"/>
          <w:highlight w:val="none"/>
          <w:lang w:val="zh-CN"/>
        </w:rPr>
      </w:pPr>
      <w:r>
        <w:rPr>
          <w:rFonts w:hint="eastAsia" w:ascii="宋体" w:hAnsi="宋体" w:cs="宋体"/>
          <w:b/>
          <w:bCs/>
          <w:color w:val="auto"/>
          <w:highlight w:val="none"/>
          <w:lang w:val="zh-CN"/>
        </w:rPr>
        <w:t>9.移动学习模块</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系统提供专门的APP移动客户端，需支持iOS和Android系统。与网络教学平台能够对接，进行在线课程的学习、作业、考试、讨论、笔记、小组、成绩分析、学生管理，支持课堂签到、抢答、问卷、讨论、选人、资料、直播等功能。移动学习系统需具备课堂教学活动的互动功能，含课堂签到、抢答、选人、测验、投票、多屏互动、讨论、主题讨论、课堂报告等。</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★9.1具有移动客户端，支持iOS和Android操作系统，用于手机、Pad等智能移动终端中，实现在线移动学习。</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9.2</w:t>
      </w:r>
      <w:r>
        <w:rPr>
          <w:rFonts w:hAnsi="宋体" w:cs="宋体"/>
          <w:b w:val="0"/>
          <w:bCs w:val="0"/>
          <w:color w:val="auto"/>
          <w:highlight w:val="none"/>
        </w:rPr>
        <w:t>pc</w:t>
      </w:r>
      <w:r>
        <w:rPr>
          <w:rFonts w:hint="eastAsia" w:ascii="宋体" w:hAnsi="宋体" w:cs="宋体"/>
          <w:b w:val="0"/>
          <w:bCs w:val="0"/>
          <w:color w:val="auto"/>
          <w:highlight w:val="none"/>
          <w:lang w:val="zh-CN"/>
        </w:rPr>
        <w:t>端与移动端的学习进度保持同步，学生在任何终端上，都可以实现学习记录的持续性。</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 xml:space="preserve">9.3按照教学计划，可在移动端组织教学内容，有序安排资料推送、签到、问答、抢答、投票等教学活动，可实现互动内容课堂发放并复用。                          </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9.4教师可以在课堂上发布问题，通过抢答进行提问，学生同时在手机收到抢答并进行抢答。</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 xml:space="preserve">9.5教师可通过随机选人功能选择学生回答问题，并可以将选择结果投屏显示。                 </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 xml:space="preserve">9.6教师可以在课堂上实时发布调查问卷，学生通过移动端进行投票。教师端可以立即统计投票结果。                               </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 xml:space="preserve">9.7课堂结束后，可以将所有课堂上发布的控件进行记录，生成课堂历史记录。                               </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9.8可基于课程形成师生互动交流群，实时进行即时通讯，进行讨论与交流。</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 xml:space="preserve">9.9教师可以编辑问答题并可将题目发布到学生端，学生可以回答问题并提交，教师可以实时查看学生提交结果。 </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 xml:space="preserve">9.10教师和学生可以开展话题讨论，利用发帖形式进行小组话题交流。                   </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9.11教师在课前对资料进行云盘存储，课堂上可以利用云盘功能选择和自己课程相关的资料进行资料推送，推送完成后参与教学的学生和教师都可以查看资料的详细内容。</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9.12在线课程的学习、做作业、考试，讨论、答疑等支持闯关模式学习。</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9.13移动教案：按照教学计划，教师可提前在移动学习系统上组织教学内容，有序安排资料推送、签到、问答、抢答、投票等教学活动，方便课堂发放并易于复用。</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9.14课堂签到：教师在移动端发布课堂签到，学生直接用手机通过扫描课堂大屏的二维码、或输入教师分享的手</w:t>
      </w:r>
      <w:r>
        <w:rPr>
          <w:rFonts w:hint="eastAsia" w:ascii="宋体" w:hAnsi="宋体" w:cs="宋体"/>
          <w:b w:val="0"/>
          <w:bCs w:val="0"/>
          <w:color w:val="auto"/>
          <w:highlight w:val="none"/>
          <w:lang w:val="en-US" w:eastAsia="zh-CN"/>
        </w:rPr>
        <w:t>势</w:t>
      </w:r>
      <w:r>
        <w:rPr>
          <w:rFonts w:hint="eastAsia" w:ascii="宋体" w:hAnsi="宋体" w:cs="宋体"/>
          <w:b w:val="0"/>
          <w:bCs w:val="0"/>
          <w:color w:val="auto"/>
          <w:highlight w:val="none"/>
          <w:lang w:val="zh-CN"/>
        </w:rPr>
        <w:t>等方式进行签到。教师端可以显示已签到和未签到学生。</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9.15问题抢答：教师可以在课堂上发布问题抢答进行提问，学生同时在移动端收到抢答提问，学生此时可以进行迅速抢答。教师端显示抢答顺序结果，获得抢答优先权的学生可以优先回答问题。抢答标题可以拍照上传，教师还可根据学生抢答的先后顺序，设置不同的分数。</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9.16随机选人：教师发布随机选人，移动课堂互动系统会自动在已经签到的学生中随机选择学生。</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★9.17视频直播：教师可以在上课过程中，在移动端发放课堂直播，学生可以直接参与直播并进行互动。</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9.18学生的课堂表现等都以积分形式形成评价，可转换为平时成绩；在线课程的学习同时记录作业成绩、考试成绩、按照老师设计的成绩权重给出综合评价。</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★9.19可以阅读海量电子图书、报纸、期刊、专题等资源，可以收藏到自己的空间，并进行分类管理；可以对所有精彩的内容进行分享。</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9.20基于真实身份、课程、读书等学习行为及学生活动的社交互动，形成趣味式的成长花瓣，引发学习激励。包括：小组、私有笔记、共享笔记、阅读时间等。</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9.21可以按照组织架构建立通讯录，可查看组织内所有人的联系方式，也可以根据实际情况进行个人信息适当范围的私密保护设置。</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9.22教师课程通知、小组通知、个人互相通知的即时消息任意组合设置，实时发送，实时接收，并可查看通知阅读状态，已读和未读名单。教师、学生都可以进行实时的学习通知、组建小组群聊（也可设置屏蔽提醒）、好友验证等即时通信。</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9.23支持手机端发起视频直播，学生可以通过手机观看直播并留言。</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★9.24支持手机端投屏功能且不局限于同个WIFI网络才能实现，教师轻松通过投屏进行签到、选人、抢答等教学环节。</w:t>
      </w:r>
    </w:p>
    <w:p>
      <w:pPr>
        <w:pageBreakBefore w:val="0"/>
        <w:kinsoku/>
        <w:wordWrap/>
        <w:overflowPunct/>
        <w:topLinePunct w:val="0"/>
        <w:bidi w:val="0"/>
        <w:snapToGrid w:val="0"/>
        <w:spacing w:line="360" w:lineRule="auto"/>
        <w:ind w:firstLine="420" w:firstLineChars="200"/>
        <w:rPr>
          <w:rFonts w:ascii="宋体" w:hAnsi="宋体" w:cs="宋体"/>
          <w:b w:val="0"/>
          <w:bCs w:val="0"/>
          <w:color w:val="auto"/>
          <w:highlight w:val="none"/>
          <w:lang w:val="zh-CN"/>
        </w:rPr>
      </w:pPr>
      <w:r>
        <w:rPr>
          <w:rFonts w:hint="eastAsia" w:ascii="宋体" w:hAnsi="宋体" w:cs="宋体"/>
          <w:b w:val="0"/>
          <w:bCs w:val="0"/>
          <w:color w:val="auto"/>
          <w:highlight w:val="none"/>
          <w:lang w:val="zh-CN"/>
        </w:rPr>
        <w:t>★9.25支持强大PPT演示功能，PPT投屏演示保留动画效果，播放流畅。PPT文件来源多种渠道，可以通过电脑端把文件直接发送至移动端，提高资源展示的便捷性。</w:t>
      </w:r>
    </w:p>
    <w:p>
      <w:pPr>
        <w:pageBreakBefore w:val="0"/>
        <w:widowControl/>
        <w:tabs>
          <w:tab w:val="left" w:pos="240"/>
        </w:tabs>
        <w:kinsoku/>
        <w:wordWrap/>
        <w:overflowPunct/>
        <w:topLinePunct w:val="0"/>
        <w:bidi w:val="0"/>
        <w:adjustRightInd w:val="0"/>
        <w:snapToGrid w:val="0"/>
        <w:spacing w:line="360" w:lineRule="auto"/>
        <w:ind w:firstLine="422" w:firstLineChars="200"/>
        <w:jc w:val="left"/>
        <w:outlineLvl w:val="0"/>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“一人一社团”网络选修课程</w:t>
      </w:r>
    </w:p>
    <w:p>
      <w:pPr>
        <w:pageBreakBefore w:val="0"/>
        <w:kinsoku/>
        <w:wordWrap/>
        <w:overflowPunct/>
        <w:topLinePunct w:val="0"/>
        <w:bidi w:val="0"/>
        <w:snapToGrid w:val="0"/>
        <w:spacing w:line="360" w:lineRule="auto"/>
        <w:ind w:firstLine="422" w:firstLineChars="200"/>
        <w:outlineLvl w:val="0"/>
        <w:rPr>
          <w:rFonts w:ascii="宋体" w:hAnsi="宋体" w:cs="宋体"/>
          <w:b/>
          <w:bCs/>
          <w:color w:val="auto"/>
          <w:highlight w:val="none"/>
          <w:lang w:val="zh-CN"/>
        </w:rPr>
      </w:pPr>
      <w:r>
        <w:rPr>
          <w:rFonts w:hint="eastAsia" w:ascii="宋体" w:hAnsi="宋体" w:cs="宋体"/>
          <w:b/>
          <w:bCs/>
          <w:color w:val="auto"/>
          <w:highlight w:val="none"/>
          <w:lang w:val="zh-CN"/>
        </w:rPr>
        <w:t>1</w:t>
      </w:r>
      <w:r>
        <w:rPr>
          <w:rFonts w:hint="eastAsia" w:ascii="宋体" w:hAnsi="宋体" w:cs="宋体"/>
          <w:b/>
          <w:bCs/>
          <w:color w:val="auto"/>
          <w:highlight w:val="none"/>
          <w:lang w:val="en-US" w:eastAsia="zh-CN"/>
        </w:rPr>
        <w:t>.</w:t>
      </w:r>
      <w:r>
        <w:rPr>
          <w:rFonts w:hint="eastAsia" w:ascii="宋体" w:hAnsi="宋体" w:cs="宋体"/>
          <w:b/>
          <w:bCs/>
          <w:color w:val="auto"/>
          <w:highlight w:val="none"/>
          <w:lang w:val="zh-CN"/>
        </w:rPr>
        <w:t>课程体系要求</w:t>
      </w:r>
    </w:p>
    <w:p>
      <w:pPr>
        <w:pageBreakBefore w:val="0"/>
        <w:kinsoku/>
        <w:wordWrap/>
        <w:overflowPunct/>
        <w:topLinePunct w:val="0"/>
        <w:bidi w:val="0"/>
        <w:spacing w:line="360" w:lineRule="auto"/>
        <w:ind w:firstLine="420" w:firstLineChars="200"/>
        <w:rPr>
          <w:color w:val="auto"/>
          <w:highlight w:val="none"/>
        </w:rPr>
      </w:pPr>
      <w:r>
        <w:rPr>
          <w:rFonts w:hint="eastAsia" w:ascii="宋体" w:hAnsi="宋体" w:cs="宋体"/>
          <w:color w:val="auto"/>
          <w:highlight w:val="none"/>
          <w:lang w:val="zh-CN"/>
        </w:rPr>
        <w:t>★</w:t>
      </w:r>
      <w:r>
        <w:rPr>
          <w:rFonts w:hint="eastAsia"/>
          <w:color w:val="auto"/>
          <w:highlight w:val="none"/>
        </w:rPr>
        <w:t>1</w:t>
      </w:r>
      <w:r>
        <w:rPr>
          <w:rFonts w:hint="eastAsia"/>
          <w:color w:val="auto"/>
          <w:highlight w:val="none"/>
          <w:lang w:val="en-US" w:eastAsia="zh-CN"/>
        </w:rPr>
        <w:t>.1</w:t>
      </w:r>
      <w:r>
        <w:rPr>
          <w:rFonts w:hint="eastAsia"/>
          <w:color w:val="auto"/>
          <w:highlight w:val="none"/>
        </w:rPr>
        <w:t>课程内容需覆盖综合素养类、个人能力类、个人成长类、创新创业类、公共必修类、个人发展类、专业导学类、经典导读类、中职公共基础课及职业素养类等9个类型，提供课程</w:t>
      </w:r>
      <w:bookmarkStart w:id="130" w:name="OLE_LINK11"/>
      <w:bookmarkStart w:id="131" w:name="OLE_LINK12"/>
      <w:r>
        <w:rPr>
          <w:rFonts w:hint="eastAsia"/>
          <w:color w:val="auto"/>
          <w:highlight w:val="none"/>
        </w:rPr>
        <w:t>不少于300门</w:t>
      </w:r>
      <w:bookmarkEnd w:id="130"/>
      <w:bookmarkEnd w:id="131"/>
      <w:r>
        <w:rPr>
          <w:rFonts w:hint="eastAsia"/>
          <w:color w:val="auto"/>
          <w:highlight w:val="none"/>
        </w:rPr>
        <w:t>。</w:t>
      </w:r>
    </w:p>
    <w:p>
      <w:pPr>
        <w:pageBreakBefore w:val="0"/>
        <w:kinsoku/>
        <w:wordWrap/>
        <w:overflowPunct/>
        <w:topLinePunct w:val="0"/>
        <w:bidi w:val="0"/>
        <w:spacing w:line="360" w:lineRule="auto"/>
        <w:ind w:firstLine="420" w:firstLineChars="200"/>
        <w:rPr>
          <w:color w:val="auto"/>
          <w:highlight w:val="none"/>
        </w:rPr>
      </w:pPr>
      <w:r>
        <w:rPr>
          <w:rFonts w:hint="eastAsia"/>
          <w:color w:val="auto"/>
          <w:highlight w:val="none"/>
          <w:lang w:val="en-US" w:eastAsia="zh-CN"/>
        </w:rPr>
        <w:t>1.2</w:t>
      </w:r>
      <w:r>
        <w:rPr>
          <w:rFonts w:hint="eastAsia"/>
          <w:color w:val="auto"/>
          <w:highlight w:val="none"/>
        </w:rPr>
        <w:t>师资来源：包含双一流高校、中国科学院、中国工程院、中国社会科学院、国外知名高校等国内外知名院校和科研机构。</w:t>
      </w:r>
    </w:p>
    <w:p>
      <w:pPr>
        <w:pageBreakBefore w:val="0"/>
        <w:kinsoku/>
        <w:wordWrap/>
        <w:overflowPunct/>
        <w:topLinePunct w:val="0"/>
        <w:bidi w:val="0"/>
        <w:spacing w:line="360" w:lineRule="auto"/>
        <w:ind w:firstLine="420" w:firstLineChars="200"/>
        <w:rPr>
          <w:color w:val="auto"/>
          <w:highlight w:val="none"/>
        </w:rPr>
      </w:pPr>
      <w:r>
        <w:rPr>
          <w:rFonts w:hint="eastAsia"/>
          <w:color w:val="auto"/>
          <w:highlight w:val="none"/>
          <w:lang w:val="en-US" w:eastAsia="zh-CN"/>
        </w:rPr>
        <w:t>1.3</w:t>
      </w:r>
      <w:r>
        <w:rPr>
          <w:rFonts w:hint="eastAsia"/>
          <w:color w:val="auto"/>
          <w:highlight w:val="none"/>
        </w:rPr>
        <w:t>版权问题：供应商已解决课程版权事宜，不会给学校带来版权纠纷，不会因为相关争议影响学校正常使用。</w:t>
      </w:r>
    </w:p>
    <w:p>
      <w:pPr>
        <w:pageBreakBefore w:val="0"/>
        <w:kinsoku/>
        <w:wordWrap/>
        <w:overflowPunct/>
        <w:topLinePunct w:val="0"/>
        <w:bidi w:val="0"/>
        <w:spacing w:line="360" w:lineRule="auto"/>
        <w:ind w:firstLine="420" w:firstLineChars="200"/>
        <w:rPr>
          <w:color w:val="auto"/>
          <w:highlight w:val="none"/>
        </w:rPr>
      </w:pPr>
      <w:r>
        <w:rPr>
          <w:rFonts w:hint="eastAsia"/>
          <w:color w:val="auto"/>
          <w:highlight w:val="none"/>
          <w:lang w:val="en-US" w:eastAsia="zh-CN"/>
        </w:rPr>
        <w:t>1.4</w:t>
      </w:r>
      <w:r>
        <w:rPr>
          <w:rFonts w:hint="eastAsia"/>
          <w:color w:val="auto"/>
          <w:highlight w:val="none"/>
        </w:rPr>
        <w:t>课程视频：课程必需高清拍摄，可在线以720P以上清晰度流畅播放；外语课程应配备简体中文字幕；视频中配备图片等富媒体素材帮助学生学习；除特殊情况外，视频长度控制在1</w:t>
      </w:r>
      <w:r>
        <w:rPr>
          <w:color w:val="auto"/>
          <w:highlight w:val="none"/>
        </w:rPr>
        <w:t>5</w:t>
      </w:r>
      <w:r>
        <w:rPr>
          <w:rFonts w:hint="eastAsia"/>
          <w:color w:val="auto"/>
          <w:highlight w:val="none"/>
        </w:rPr>
        <w:t>分钟左右。</w:t>
      </w:r>
    </w:p>
    <w:p>
      <w:pPr>
        <w:pageBreakBefore w:val="0"/>
        <w:kinsoku/>
        <w:wordWrap/>
        <w:overflowPunct/>
        <w:topLinePunct w:val="0"/>
        <w:bidi w:val="0"/>
        <w:spacing w:line="360" w:lineRule="auto"/>
        <w:ind w:firstLine="420" w:firstLineChars="200"/>
        <w:rPr>
          <w:color w:val="auto"/>
          <w:highlight w:val="none"/>
        </w:rPr>
      </w:pPr>
      <w:r>
        <w:rPr>
          <w:rFonts w:hint="eastAsia"/>
          <w:color w:val="auto"/>
          <w:highlight w:val="none"/>
          <w:lang w:val="en-US" w:eastAsia="zh-CN"/>
        </w:rPr>
        <w:t>1.5</w:t>
      </w:r>
      <w:r>
        <w:rPr>
          <w:rFonts w:hint="eastAsia"/>
          <w:color w:val="auto"/>
          <w:highlight w:val="none"/>
        </w:rPr>
        <w:t>辅学资源：每门课程除了完善的教学视频外，必须至少包含与本门课程相关的图书及专题，以丰富学生的课外学习。相关电子版参考文献至少10册、专题至少4个。</w:t>
      </w:r>
    </w:p>
    <w:p>
      <w:pPr>
        <w:pageBreakBefore w:val="0"/>
        <w:kinsoku/>
        <w:wordWrap/>
        <w:overflowPunct/>
        <w:topLinePunct w:val="0"/>
        <w:bidi w:val="0"/>
        <w:spacing w:line="360" w:lineRule="auto"/>
        <w:ind w:firstLine="420" w:firstLineChars="200"/>
        <w:rPr>
          <w:color w:val="auto"/>
          <w:highlight w:val="none"/>
        </w:rPr>
      </w:pPr>
      <w:r>
        <w:rPr>
          <w:rFonts w:hint="eastAsia"/>
          <w:color w:val="auto"/>
          <w:highlight w:val="none"/>
          <w:lang w:val="en-US" w:eastAsia="zh-CN"/>
        </w:rPr>
        <w:t>1.6</w:t>
      </w:r>
      <w:r>
        <w:rPr>
          <w:rFonts w:hint="eastAsia"/>
          <w:color w:val="auto"/>
          <w:highlight w:val="none"/>
        </w:rPr>
        <w:t>课程题库：除公共必修课程外，所有课程题库需包括单选题、多选题、判断题、填空题、简答题等五种题型。课程视频数量多于2</w:t>
      </w:r>
      <w:r>
        <w:rPr>
          <w:color w:val="auto"/>
          <w:highlight w:val="none"/>
        </w:rPr>
        <w:t>0</w:t>
      </w:r>
      <w:r>
        <w:rPr>
          <w:rFonts w:hint="eastAsia"/>
          <w:color w:val="auto"/>
          <w:highlight w:val="none"/>
        </w:rPr>
        <w:t>个的，每门课程配套题库题目数量应不少于</w:t>
      </w:r>
      <w:r>
        <w:rPr>
          <w:color w:val="auto"/>
          <w:highlight w:val="none"/>
        </w:rPr>
        <w:t>120</w:t>
      </w:r>
      <w:r>
        <w:rPr>
          <w:rFonts w:hint="eastAsia"/>
          <w:color w:val="auto"/>
          <w:highlight w:val="none"/>
        </w:rPr>
        <w:t>道。试题更新频率不低于每学年一次，以系统标注题库上传时间为准。为提高考核的科学性，日常作业题目应当与期末考试题目有所区别，题库中需明确表明两类题目区分。</w:t>
      </w:r>
    </w:p>
    <w:p>
      <w:pPr>
        <w:pageBreakBefore w:val="0"/>
        <w:kinsoku/>
        <w:wordWrap/>
        <w:overflowPunct/>
        <w:topLinePunct w:val="0"/>
        <w:bidi w:val="0"/>
        <w:spacing w:line="360" w:lineRule="auto"/>
        <w:ind w:firstLine="420" w:firstLineChars="200"/>
        <w:rPr>
          <w:color w:val="auto"/>
          <w:highlight w:val="none"/>
        </w:rPr>
      </w:pPr>
      <w:r>
        <w:rPr>
          <w:rFonts w:hint="eastAsia" w:ascii="宋体" w:hAnsi="宋体" w:cs="宋体"/>
          <w:color w:val="auto"/>
          <w:highlight w:val="none"/>
          <w:lang w:val="zh-CN"/>
        </w:rPr>
        <w:t>★</w:t>
      </w:r>
      <w:r>
        <w:rPr>
          <w:rFonts w:hint="eastAsia"/>
          <w:color w:val="auto"/>
          <w:highlight w:val="none"/>
          <w:lang w:val="en-US" w:eastAsia="zh-CN"/>
        </w:rPr>
        <w:t>1.7</w:t>
      </w:r>
      <w:r>
        <w:rPr>
          <w:rFonts w:hint="eastAsia" w:ascii="宋体" w:hAnsi="宋体" w:cs="宋体"/>
          <w:color w:val="auto"/>
          <w:highlight w:val="none"/>
          <w:lang w:val="zh-CN"/>
        </w:rPr>
        <w:t>综合素养类、通用能力类、</w:t>
      </w:r>
      <w:r>
        <w:rPr>
          <w:rFonts w:hint="eastAsia"/>
          <w:color w:val="auto"/>
          <w:highlight w:val="none"/>
        </w:rPr>
        <w:t>中职公共基础课及职业素养</w:t>
      </w:r>
      <w:r>
        <w:rPr>
          <w:rFonts w:hint="eastAsia" w:ascii="宋体" w:hAnsi="宋体" w:cs="宋体"/>
          <w:color w:val="auto"/>
          <w:highlight w:val="none"/>
          <w:lang w:val="zh-CN"/>
        </w:rPr>
        <w:t>类课程中，各主题需至少提供5门及以上对应课程备选。其他类课程中，各主题需至少提供2门对应课程。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8"/>
        <w:gridCol w:w="2839"/>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3"/>
            <w:tcBorders>
              <w:top w:val="single" w:color="auto" w:sz="4" w:space="0"/>
              <w:left w:val="single" w:color="auto" w:sz="4" w:space="0"/>
              <w:bottom w:val="single" w:color="auto" w:sz="4" w:space="0"/>
              <w:right w:val="single" w:color="auto" w:sz="4" w:space="0"/>
            </w:tcBorders>
            <w:shd w:val="clear" w:color="auto" w:fill="FFFF00"/>
            <w:noWrap w:val="0"/>
            <w:vAlign w:val="center"/>
          </w:tcPr>
          <w:p>
            <w:pPr>
              <w:jc w:val="center"/>
              <w:rPr>
                <w:color w:val="auto"/>
                <w:highlight w:val="none"/>
                <w:lang w:val="zh-CN"/>
              </w:rPr>
            </w:pPr>
            <w:r>
              <w:rPr>
                <w:rFonts w:hint="eastAsia"/>
                <w:color w:val="auto"/>
                <w:highlight w:val="none"/>
                <w:lang w:val="zh-CN"/>
              </w:rPr>
              <w:t>综合素养类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哲学类名著导读</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国学经典名著导读</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科学技术名著导读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中国古代史</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中国近代史</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世界主要文明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心理学</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美学</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伦理学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中国古典哲学</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西方古典哲学</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西方近代哲学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中国古代文学</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中国当代文学</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中西文化比较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设计学</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表演艺术</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园林艺术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西方音乐</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中国戏曲</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艺术鉴赏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人工智能</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天体与宇宙</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航空航天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人类文明与自然科学</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计算机语言与应用</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科技与伦理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基础经济理论</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中国经济分析</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政府与政治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管理学</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法学</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社会发展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四书</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周易</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传统文化概说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3"/>
            <w:tcBorders>
              <w:top w:val="single" w:color="auto" w:sz="4" w:space="0"/>
              <w:left w:val="single" w:color="auto" w:sz="4" w:space="0"/>
              <w:bottom w:val="single" w:color="auto" w:sz="4" w:space="0"/>
              <w:right w:val="single" w:color="auto" w:sz="4" w:space="0"/>
            </w:tcBorders>
            <w:shd w:val="clear" w:color="auto" w:fill="FFFF00"/>
            <w:noWrap w:val="0"/>
            <w:vAlign w:val="center"/>
          </w:tcPr>
          <w:p>
            <w:pPr>
              <w:jc w:val="center"/>
              <w:rPr>
                <w:color w:val="auto"/>
                <w:highlight w:val="none"/>
                <w:lang w:val="zh-CN"/>
              </w:rPr>
            </w:pPr>
            <w:r>
              <w:rPr>
                <w:rFonts w:hint="eastAsia"/>
                <w:color w:val="auto"/>
                <w:highlight w:val="none"/>
                <w:lang w:val="zh-CN"/>
              </w:rPr>
              <w:t>通用能力类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现场急救</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批创思维</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自我管理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演讲与口才</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个人形象与礼仪</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职业技能</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职业规划</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组织领导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3"/>
            <w:tcBorders>
              <w:top w:val="single" w:color="auto" w:sz="4" w:space="0"/>
              <w:left w:val="single" w:color="auto" w:sz="4" w:space="0"/>
              <w:bottom w:val="single" w:color="auto" w:sz="4" w:space="0"/>
              <w:right w:val="single" w:color="auto" w:sz="4" w:space="0"/>
            </w:tcBorders>
            <w:shd w:val="clear" w:color="auto" w:fill="FFFF00"/>
            <w:noWrap w:val="0"/>
            <w:vAlign w:val="center"/>
          </w:tcPr>
          <w:p>
            <w:pPr>
              <w:jc w:val="center"/>
              <w:rPr>
                <w:color w:val="auto"/>
                <w:highlight w:val="none"/>
                <w:lang w:val="zh-CN"/>
              </w:rPr>
            </w:pPr>
            <w:r>
              <w:rPr>
                <w:rFonts w:hint="eastAsia"/>
                <w:color w:val="auto"/>
                <w:highlight w:val="none"/>
                <w:lang w:val="zh-CN"/>
              </w:rPr>
              <w:t>创新创业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创业基础理论</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创业案例分析</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创业实践模拟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3"/>
            <w:tcBorders>
              <w:top w:val="single" w:color="auto" w:sz="4" w:space="0"/>
              <w:left w:val="single" w:color="auto" w:sz="4" w:space="0"/>
              <w:bottom w:val="single" w:color="auto" w:sz="4" w:space="0"/>
              <w:right w:val="single" w:color="auto" w:sz="4" w:space="0"/>
            </w:tcBorders>
            <w:shd w:val="clear" w:color="auto" w:fill="FFFF00"/>
            <w:noWrap w:val="0"/>
            <w:vAlign w:val="center"/>
          </w:tcPr>
          <w:p>
            <w:pPr>
              <w:jc w:val="center"/>
              <w:rPr>
                <w:color w:val="auto"/>
                <w:highlight w:val="none"/>
                <w:lang w:val="zh-CN"/>
              </w:rPr>
            </w:pPr>
            <w:r>
              <w:rPr>
                <w:rFonts w:hint="eastAsia"/>
                <w:color w:val="auto"/>
                <w:highlight w:val="none"/>
              </w:rPr>
              <w:t>中职公共基础课及职业素养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哲学与人生</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中职生职业生涯规划</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职业道德与法律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中职生体育与健康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中职生心理健康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中职生实用礼仪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中国传统文化</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工匠精神</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lang w:val="zh-CN"/>
              </w:rPr>
            </w:pPr>
            <w:r>
              <w:rPr>
                <w:rFonts w:hint="eastAsia"/>
                <w:color w:val="auto"/>
                <w:highlight w:val="none"/>
                <w:lang w:val="zh-CN"/>
              </w:rPr>
              <w:t>语文</w:t>
            </w:r>
          </w:p>
        </w:tc>
      </w:tr>
    </w:tbl>
    <w:p>
      <w:pPr>
        <w:pageBreakBefore w:val="0"/>
        <w:kinsoku/>
        <w:wordWrap/>
        <w:overflowPunct/>
        <w:topLinePunct w:val="0"/>
        <w:bidi w:val="0"/>
        <w:spacing w:line="360" w:lineRule="auto"/>
        <w:rPr>
          <w:b/>
          <w:color w:val="auto"/>
          <w:highlight w:val="none"/>
        </w:rPr>
      </w:pPr>
      <w:r>
        <w:rPr>
          <w:rFonts w:hint="eastAsia"/>
          <w:b/>
          <w:color w:val="auto"/>
          <w:highlight w:val="none"/>
        </w:rPr>
        <w:t xml:space="preserve"> 2</w:t>
      </w:r>
      <w:r>
        <w:rPr>
          <w:rFonts w:hint="eastAsia"/>
          <w:b/>
          <w:color w:val="auto"/>
          <w:highlight w:val="none"/>
          <w:lang w:val="en-US" w:eastAsia="zh-CN"/>
        </w:rPr>
        <w:t>.</w:t>
      </w:r>
      <w:r>
        <w:rPr>
          <w:rFonts w:hint="eastAsia"/>
          <w:b/>
          <w:color w:val="auto"/>
          <w:highlight w:val="none"/>
        </w:rPr>
        <w:t>选修课程测评系统</w:t>
      </w:r>
    </w:p>
    <w:p>
      <w:pPr>
        <w:pageBreakBefore w:val="0"/>
        <w:kinsoku/>
        <w:wordWrap/>
        <w:overflowPunct/>
        <w:topLinePunct w:val="0"/>
        <w:bidi w:val="0"/>
        <w:spacing w:line="360" w:lineRule="auto"/>
        <w:ind w:firstLine="420" w:firstLineChars="200"/>
        <w:rPr>
          <w:rFonts w:hint="eastAsia" w:eastAsia="宋体"/>
          <w:color w:val="auto"/>
          <w:highlight w:val="none"/>
          <w:lang w:eastAsia="zh-CN"/>
        </w:rPr>
      </w:pPr>
      <w:r>
        <w:rPr>
          <w:rFonts w:hint="eastAsia"/>
          <w:color w:val="auto"/>
          <w:highlight w:val="none"/>
        </w:rPr>
        <w:t>测评主要资源要求</w:t>
      </w:r>
      <w:r>
        <w:rPr>
          <w:rFonts w:hint="eastAsia"/>
          <w:color w:val="auto"/>
          <w:highlight w:val="none"/>
          <w:lang w:eastAsia="zh-CN"/>
        </w:rPr>
        <w:t>：</w:t>
      </w:r>
    </w:p>
    <w:p>
      <w:pPr>
        <w:pageBreakBefore w:val="0"/>
        <w:kinsoku/>
        <w:wordWrap/>
        <w:overflowPunct/>
        <w:topLinePunct w:val="0"/>
        <w:bidi w:val="0"/>
        <w:spacing w:line="360" w:lineRule="auto"/>
        <w:ind w:firstLine="420" w:firstLineChars="200"/>
        <w:rPr>
          <w:color w:val="auto"/>
          <w:highlight w:val="none"/>
        </w:rPr>
      </w:pPr>
      <w:r>
        <w:rPr>
          <w:rFonts w:hint="eastAsia"/>
          <w:color w:val="auto"/>
          <w:highlight w:val="none"/>
          <w:lang w:val="en-US" w:eastAsia="zh-CN"/>
        </w:rPr>
        <w:t>2.1</w:t>
      </w:r>
      <w:r>
        <w:rPr>
          <w:rFonts w:hint="eastAsia"/>
          <w:color w:val="auto"/>
          <w:highlight w:val="none"/>
        </w:rPr>
        <w:t>测评：在线测评六大板块内容，题型为单选题，包含文字题、图片题、音频题三个类型。系统后台在学生测评过程中记录学生的提交时间、最终成绩、每道题目的答题情况等详细数据。</w:t>
      </w:r>
    </w:p>
    <w:p>
      <w:pPr>
        <w:pageBreakBefore w:val="0"/>
        <w:kinsoku/>
        <w:wordWrap/>
        <w:overflowPunct/>
        <w:topLinePunct w:val="0"/>
        <w:bidi w:val="0"/>
        <w:spacing w:line="360" w:lineRule="auto"/>
        <w:ind w:firstLine="420" w:firstLineChars="200"/>
        <w:rPr>
          <w:color w:val="auto"/>
          <w:highlight w:val="none"/>
        </w:rPr>
      </w:pPr>
      <w:r>
        <w:rPr>
          <w:rFonts w:hint="eastAsia"/>
          <w:color w:val="auto"/>
          <w:highlight w:val="none"/>
          <w:lang w:val="en-US" w:eastAsia="zh-CN"/>
        </w:rPr>
        <w:t>2.2</w:t>
      </w:r>
      <w:r>
        <w:rPr>
          <w:rFonts w:hint="eastAsia"/>
          <w:color w:val="auto"/>
          <w:highlight w:val="none"/>
        </w:rPr>
        <w:t>推荐：测评完成后，自动识别学生所在机构，判断对应学校通识课程的开课课程信息。必须能够推荐相关学习资料，帮助学生提高通识素养能力。要求推荐不少于6门相关课程及10本相关图书。学生应能够直接在测评系统内试看推荐的课程。推荐的相关图书应能够直接阅读全文。</w:t>
      </w:r>
    </w:p>
    <w:p>
      <w:pPr>
        <w:pageBreakBefore w:val="0"/>
        <w:kinsoku/>
        <w:wordWrap/>
        <w:overflowPunct/>
        <w:topLinePunct w:val="0"/>
        <w:bidi w:val="0"/>
        <w:spacing w:line="360" w:lineRule="auto"/>
        <w:ind w:firstLine="420" w:firstLineChars="200"/>
        <w:rPr>
          <w:color w:val="auto"/>
          <w:highlight w:val="none"/>
        </w:rPr>
      </w:pPr>
      <w:r>
        <w:rPr>
          <w:rFonts w:hint="eastAsia"/>
          <w:color w:val="auto"/>
          <w:highlight w:val="none"/>
          <w:lang w:val="en-US" w:eastAsia="zh-CN"/>
        </w:rPr>
        <w:t>2.3</w:t>
      </w:r>
      <w:r>
        <w:rPr>
          <w:rFonts w:hint="eastAsia"/>
          <w:color w:val="auto"/>
          <w:highlight w:val="none"/>
        </w:rPr>
        <w:t>学生测评报告：测评完成后，需允许学生在线查看个人测评报告。报告中需要包括测评内容体系各门类的详细分数、成绩评价、全国对比情况，要能够回看学生历次测评结果。</w:t>
      </w:r>
    </w:p>
    <w:p>
      <w:pPr>
        <w:pageBreakBefore w:val="0"/>
        <w:kinsoku/>
        <w:wordWrap/>
        <w:overflowPunct/>
        <w:topLinePunct w:val="0"/>
        <w:bidi w:val="0"/>
        <w:spacing w:line="360" w:lineRule="auto"/>
        <w:ind w:firstLine="420" w:firstLineChars="200"/>
        <w:rPr>
          <w:rFonts w:hint="eastAsia"/>
          <w:color w:val="auto"/>
          <w:highlight w:val="none"/>
        </w:rPr>
      </w:pPr>
      <w:r>
        <w:rPr>
          <w:rFonts w:hint="eastAsia"/>
          <w:color w:val="auto"/>
          <w:highlight w:val="none"/>
          <w:lang w:val="en-US" w:eastAsia="zh-CN"/>
        </w:rPr>
        <w:t>2.4</w:t>
      </w:r>
      <w:r>
        <w:rPr>
          <w:rFonts w:hint="eastAsia"/>
          <w:color w:val="auto"/>
          <w:highlight w:val="none"/>
        </w:rPr>
        <w:t>校方后台：测评过程中，需要给校方提供实时监控后台，以便查看各年级、各专业学生的参与情况；并能够直接提供各分数段、各内容体系维度的数据分析结果，向学校展示学生整体通识素养水平。</w:t>
      </w:r>
    </w:p>
    <w:p>
      <w:pPr>
        <w:pStyle w:val="8"/>
        <w:pageBreakBefore w:val="0"/>
        <w:kinsoku/>
        <w:wordWrap/>
        <w:overflowPunct/>
        <w:topLinePunct w:val="0"/>
        <w:bidi w:val="0"/>
        <w:spacing w:line="360" w:lineRule="auto"/>
        <w:ind w:firstLine="422" w:firstLineChars="200"/>
        <w:rPr>
          <w:rFonts w:hint="eastAsia" w:ascii="Cambria" w:hAnsi="Cambria" w:eastAsia="宋体"/>
          <w:b/>
          <w:bCs/>
          <w:color w:val="auto"/>
          <w:kern w:val="2"/>
          <w:sz w:val="21"/>
          <w:szCs w:val="22"/>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Cambria" w:hAnsi="Cambria" w:eastAsia="宋体"/>
          <w:b/>
          <w:bCs/>
          <w:color w:val="auto"/>
          <w:kern w:val="2"/>
          <w:sz w:val="21"/>
          <w:szCs w:val="22"/>
          <w:highlight w:val="none"/>
          <w:lang w:val="en-US" w:eastAsia="zh-CN" w:bidi="ar-SA"/>
        </w:rPr>
        <w:t>注：技术参数中所有“★”部分均需现场演示，磋商响应供应商自行准备演示所需高清接头。</w:t>
      </w:r>
    </w:p>
    <w:p>
      <w:pPr>
        <w:pStyle w:val="3"/>
        <w:spacing w:line="240" w:lineRule="auto"/>
        <w:jc w:val="center"/>
        <w:rPr>
          <w:rFonts w:ascii="宋体"/>
          <w:color w:val="auto"/>
          <w:sz w:val="36"/>
          <w:highlight w:val="none"/>
        </w:rPr>
      </w:pPr>
      <w:r>
        <w:rPr>
          <w:rFonts w:hint="eastAsia" w:ascii="宋体" w:hAnsi="宋体"/>
          <w:color w:val="auto"/>
          <w:sz w:val="36"/>
          <w:highlight w:val="none"/>
        </w:rPr>
        <w:t>第五章 评审方法和评审标准</w:t>
      </w:r>
      <w:bookmarkEnd w:id="121"/>
      <w:bookmarkEnd w:id="122"/>
    </w:p>
    <w:p>
      <w:pPr>
        <w:pStyle w:val="37"/>
        <w:ind w:firstLine="422" w:firstLineChars="200"/>
        <w:rPr>
          <w:rFonts w:hint="eastAsia" w:ascii="宋体" w:hAnsi="宋体"/>
          <w:b/>
          <w:color w:val="auto"/>
          <w:kern w:val="2"/>
          <w:sz w:val="21"/>
          <w:szCs w:val="21"/>
          <w:highlight w:val="none"/>
        </w:rPr>
      </w:pPr>
      <w:r>
        <w:rPr>
          <w:rFonts w:hint="eastAsia" w:ascii="宋体" w:hAnsi="宋体"/>
          <w:b/>
          <w:color w:val="auto"/>
          <w:kern w:val="2"/>
          <w:sz w:val="21"/>
          <w:szCs w:val="21"/>
          <w:highlight w:val="none"/>
        </w:rPr>
        <w:t>一、评</w:t>
      </w:r>
      <w:r>
        <w:rPr>
          <w:rFonts w:hint="eastAsia" w:ascii="宋体" w:hAnsi="宋体"/>
          <w:b/>
          <w:color w:val="auto"/>
          <w:kern w:val="2"/>
          <w:sz w:val="21"/>
          <w:szCs w:val="21"/>
          <w:highlight w:val="none"/>
          <w:lang w:eastAsia="zh-CN"/>
        </w:rPr>
        <w:t>审</w:t>
      </w:r>
      <w:r>
        <w:rPr>
          <w:rFonts w:hint="eastAsia" w:ascii="宋体" w:hAnsi="宋体"/>
          <w:b/>
          <w:color w:val="auto"/>
          <w:kern w:val="2"/>
          <w:sz w:val="21"/>
          <w:szCs w:val="21"/>
          <w:highlight w:val="none"/>
        </w:rPr>
        <w:t>方法</w:t>
      </w:r>
    </w:p>
    <w:p>
      <w:pPr>
        <w:pStyle w:val="37"/>
        <w:ind w:firstLine="420" w:firstLineChars="200"/>
        <w:rPr>
          <w:rFonts w:hint="eastAsia" w:ascii="宋体" w:hAnsi="宋体"/>
          <w:color w:val="auto"/>
          <w:kern w:val="2"/>
          <w:sz w:val="21"/>
          <w:szCs w:val="21"/>
          <w:highlight w:val="none"/>
        </w:rPr>
      </w:pPr>
      <w:r>
        <w:rPr>
          <w:rFonts w:hint="eastAsia" w:ascii="宋体" w:hAnsi="宋体"/>
          <w:color w:val="auto"/>
          <w:kern w:val="2"/>
          <w:sz w:val="21"/>
          <w:szCs w:val="21"/>
          <w:highlight w:val="none"/>
        </w:rPr>
        <w:t>本项目采用综合评分法，评委会将对确定为实质性响应</w:t>
      </w:r>
      <w:r>
        <w:rPr>
          <w:rFonts w:hint="eastAsia" w:ascii="宋体" w:hAnsi="宋体"/>
          <w:color w:val="auto"/>
          <w:kern w:val="2"/>
          <w:sz w:val="21"/>
          <w:szCs w:val="21"/>
          <w:highlight w:val="none"/>
          <w:lang w:eastAsia="zh-CN"/>
        </w:rPr>
        <w:t>磋商文件</w:t>
      </w:r>
      <w:r>
        <w:rPr>
          <w:rFonts w:hint="eastAsia" w:ascii="宋体" w:hAnsi="宋体"/>
          <w:color w:val="auto"/>
          <w:kern w:val="2"/>
          <w:sz w:val="21"/>
          <w:szCs w:val="21"/>
          <w:highlight w:val="none"/>
        </w:rPr>
        <w:t>要求的投标文件进行评价和比较。评标结果按评审后得分由高到低顺序排列。得分相同的，按投标报价由低到高顺序排列。得分且投标报价相同的并列，投标文件满足</w:t>
      </w:r>
      <w:r>
        <w:rPr>
          <w:rFonts w:hint="eastAsia" w:ascii="宋体" w:hAnsi="宋体"/>
          <w:color w:val="auto"/>
          <w:kern w:val="2"/>
          <w:sz w:val="21"/>
          <w:szCs w:val="21"/>
          <w:highlight w:val="none"/>
          <w:lang w:eastAsia="zh-CN"/>
        </w:rPr>
        <w:t>磋商文件</w:t>
      </w:r>
      <w:r>
        <w:rPr>
          <w:rFonts w:hint="eastAsia" w:ascii="宋体" w:hAnsi="宋体"/>
          <w:color w:val="auto"/>
          <w:kern w:val="2"/>
          <w:sz w:val="21"/>
          <w:szCs w:val="21"/>
          <w:highlight w:val="none"/>
        </w:rPr>
        <w:t>全部实质性要求，且按照评审因素的量化指标评审得分最高的</w:t>
      </w:r>
      <w:r>
        <w:rPr>
          <w:rFonts w:hint="eastAsia" w:ascii="宋体" w:hAnsi="宋体"/>
          <w:color w:val="auto"/>
          <w:kern w:val="2"/>
          <w:sz w:val="21"/>
          <w:szCs w:val="21"/>
          <w:highlight w:val="none"/>
          <w:lang w:eastAsia="zh-CN"/>
        </w:rPr>
        <w:t>供应商</w:t>
      </w:r>
      <w:r>
        <w:rPr>
          <w:rFonts w:hint="eastAsia" w:ascii="宋体" w:hAnsi="宋体"/>
          <w:color w:val="auto"/>
          <w:kern w:val="2"/>
          <w:sz w:val="21"/>
          <w:szCs w:val="21"/>
          <w:highlight w:val="none"/>
        </w:rPr>
        <w:t>为排名第一的中标候选人。</w:t>
      </w:r>
    </w:p>
    <w:p>
      <w:pPr>
        <w:pStyle w:val="37"/>
        <w:ind w:firstLine="422" w:firstLineChars="200"/>
        <w:rPr>
          <w:rFonts w:hint="eastAsia" w:ascii="宋体" w:hAnsi="宋体"/>
          <w:b/>
          <w:color w:val="auto"/>
          <w:kern w:val="2"/>
          <w:sz w:val="21"/>
          <w:szCs w:val="21"/>
          <w:highlight w:val="none"/>
        </w:rPr>
      </w:pPr>
      <w:r>
        <w:rPr>
          <w:rFonts w:hint="eastAsia" w:ascii="宋体" w:hAnsi="宋体"/>
          <w:b/>
          <w:color w:val="auto"/>
          <w:kern w:val="2"/>
          <w:sz w:val="21"/>
          <w:szCs w:val="21"/>
          <w:highlight w:val="none"/>
          <w:lang w:eastAsia="zh-CN"/>
        </w:rPr>
        <w:t>二</w:t>
      </w:r>
      <w:r>
        <w:rPr>
          <w:rFonts w:hint="eastAsia" w:ascii="宋体" w:hAnsi="宋体"/>
          <w:b/>
          <w:color w:val="auto"/>
          <w:kern w:val="2"/>
          <w:sz w:val="21"/>
          <w:szCs w:val="21"/>
          <w:highlight w:val="none"/>
        </w:rPr>
        <w:t>、评</w:t>
      </w:r>
      <w:r>
        <w:rPr>
          <w:rFonts w:hint="eastAsia" w:ascii="宋体" w:hAnsi="宋体"/>
          <w:b/>
          <w:color w:val="auto"/>
          <w:kern w:val="2"/>
          <w:sz w:val="21"/>
          <w:szCs w:val="21"/>
          <w:highlight w:val="none"/>
          <w:lang w:eastAsia="zh-CN"/>
        </w:rPr>
        <w:t>审</w:t>
      </w:r>
      <w:r>
        <w:rPr>
          <w:rFonts w:hint="eastAsia" w:ascii="宋体" w:hAnsi="宋体"/>
          <w:b/>
          <w:color w:val="auto"/>
          <w:kern w:val="2"/>
          <w:sz w:val="21"/>
          <w:szCs w:val="21"/>
          <w:highlight w:val="none"/>
        </w:rPr>
        <w:t>标准</w:t>
      </w:r>
    </w:p>
    <w:tbl>
      <w:tblPr>
        <w:tblStyle w:val="21"/>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6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noWrap w:val="0"/>
            <w:vAlign w:val="center"/>
          </w:tcPr>
          <w:p>
            <w:pPr>
              <w:pageBreakBefore w:val="0"/>
              <w:kinsoku/>
              <w:wordWrap/>
              <w:overflowPunct/>
              <w:topLinePunct w:val="0"/>
              <w:bidi w:val="0"/>
              <w:spacing w:line="360" w:lineRule="auto"/>
              <w:jc w:val="center"/>
              <w:rPr>
                <w:rFonts w:ascii="宋体" w:hAnsi="宋体"/>
                <w:color w:val="auto"/>
                <w:kern w:val="0"/>
                <w:szCs w:val="21"/>
                <w:highlight w:val="none"/>
              </w:rPr>
            </w:pPr>
            <w:bookmarkStart w:id="132" w:name="_Toc29215474"/>
            <w:bookmarkStart w:id="133" w:name="_Toc504128237"/>
            <w:r>
              <w:rPr>
                <w:rFonts w:hint="eastAsia" w:ascii="宋体" w:hAnsi="宋体" w:eastAsia="宋体" w:cs="宋体"/>
                <w:color w:val="auto"/>
                <w:kern w:val="0"/>
                <w:sz w:val="21"/>
                <w:szCs w:val="21"/>
                <w:highlight w:val="none"/>
              </w:rPr>
              <w:t>项目</w:t>
            </w:r>
          </w:p>
        </w:tc>
        <w:tc>
          <w:tcPr>
            <w:tcW w:w="6868" w:type="dxa"/>
            <w:noWrap w:val="0"/>
            <w:vAlign w:val="top"/>
          </w:tcPr>
          <w:p>
            <w:pPr>
              <w:pageBreakBefore w:val="0"/>
              <w:kinsoku/>
              <w:wordWrap/>
              <w:overflowPunct/>
              <w:topLinePunct w:val="0"/>
              <w:bidi w:val="0"/>
              <w:spacing w:line="360" w:lineRule="auto"/>
              <w:jc w:val="center"/>
              <w:rPr>
                <w:rFonts w:ascii="宋体" w:hAnsi="宋体"/>
                <w:color w:val="auto"/>
                <w:kern w:val="0"/>
                <w:szCs w:val="21"/>
                <w:highlight w:val="none"/>
              </w:rPr>
            </w:pPr>
            <w:r>
              <w:rPr>
                <w:rFonts w:hint="eastAsia" w:ascii="宋体" w:hAnsi="宋体" w:eastAsia="宋体" w:cs="宋体"/>
                <w:color w:val="auto"/>
                <w:kern w:val="0"/>
                <w:sz w:val="21"/>
                <w:szCs w:val="21"/>
                <w:highlight w:val="none"/>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w:t>
            </w:r>
          </w:p>
          <w:p>
            <w:pPr>
              <w:pageBreakBefore w:val="0"/>
              <w:kinsoku/>
              <w:wordWrap/>
              <w:overflowPunct/>
              <w:topLinePunct w:val="0"/>
              <w:bidi w:val="0"/>
              <w:spacing w:line="360" w:lineRule="auto"/>
              <w:jc w:val="center"/>
              <w:rPr>
                <w:rFonts w:ascii="宋体" w:hAnsi="宋体"/>
                <w:color w:val="auto"/>
                <w:kern w:val="0"/>
                <w:szCs w:val="21"/>
                <w:highlight w:val="none"/>
              </w:rPr>
            </w:pPr>
            <w:r>
              <w:rPr>
                <w:rFonts w:hint="eastAsia" w:ascii="宋体" w:hAnsi="宋体" w:eastAsia="宋体" w:cs="宋体"/>
                <w:color w:val="auto"/>
                <w:kern w:val="0"/>
                <w:sz w:val="21"/>
                <w:szCs w:val="21"/>
                <w:highlight w:val="none"/>
              </w:rPr>
              <w:t>（15分）</w:t>
            </w:r>
          </w:p>
        </w:tc>
        <w:tc>
          <w:tcPr>
            <w:tcW w:w="6868" w:type="dxa"/>
            <w:noWrap w:val="0"/>
            <w:vAlign w:val="center"/>
          </w:tcPr>
          <w:p>
            <w:pPr>
              <w:pageBreakBefore w:val="0"/>
              <w:kinsoku/>
              <w:wordWrap/>
              <w:overflowPunct/>
              <w:topLinePunct w:val="0"/>
              <w:bidi w:val="0"/>
              <w:spacing w:line="360" w:lineRule="auto"/>
              <w:rPr>
                <w:rFonts w:ascii="宋体" w:hAnsi="宋体"/>
                <w:color w:val="auto"/>
                <w:kern w:val="0"/>
                <w:szCs w:val="21"/>
                <w:highlight w:val="none"/>
              </w:rPr>
            </w:pPr>
            <w:r>
              <w:rPr>
                <w:rFonts w:hint="eastAsia" w:ascii="宋体" w:hAnsi="宋体" w:eastAsia="宋体" w:cs="宋体"/>
                <w:color w:val="auto"/>
                <w:sz w:val="21"/>
                <w:szCs w:val="21"/>
                <w:highlight w:val="none"/>
              </w:rPr>
              <w:t>以满足磋商文件要求的最低响应</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为基准价，得满分15分，其他响应报价得分=（</w:t>
            </w:r>
            <w:r>
              <w:rPr>
                <w:rFonts w:hint="eastAsia" w:ascii="宋体" w:hAnsi="宋体" w:eastAsia="宋体" w:cs="宋体"/>
                <w:color w:val="auto"/>
                <w:sz w:val="21"/>
                <w:szCs w:val="21"/>
                <w:highlight w:val="none"/>
                <w:lang w:val="en-US" w:eastAsia="zh-CN"/>
              </w:rPr>
              <w:t>基准报价</w:t>
            </w: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）×15×100%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rPr>
              <w:t>技术参数</w:t>
            </w:r>
            <w:r>
              <w:rPr>
                <w:rFonts w:hint="eastAsia" w:ascii="宋体" w:hAnsi="宋体" w:eastAsia="宋体" w:cs="宋体"/>
                <w:color w:val="auto"/>
                <w:sz w:val="21"/>
                <w:szCs w:val="21"/>
                <w:highlight w:val="none"/>
                <w:lang w:val="en-US" w:eastAsia="zh-Hans"/>
              </w:rPr>
              <w:t>及演示</w:t>
            </w:r>
          </w:p>
          <w:p>
            <w:pPr>
              <w:pageBreakBefore w:val="0"/>
              <w:kinsoku/>
              <w:wordWrap/>
              <w:overflowPunct/>
              <w:topLinePunct w:val="0"/>
              <w:bidi w:val="0"/>
              <w:spacing w:line="360" w:lineRule="auto"/>
              <w:jc w:val="center"/>
              <w:rPr>
                <w:rFonts w:hint="eastAsia" w:ascii="宋体" w:hAnsi="宋体"/>
                <w:color w:val="auto"/>
                <w:kern w:val="0"/>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分）</w:t>
            </w:r>
          </w:p>
        </w:tc>
        <w:tc>
          <w:tcPr>
            <w:tcW w:w="6868" w:type="dxa"/>
            <w:noWrap w:val="0"/>
            <w:vAlign w:val="top"/>
          </w:tcPr>
          <w:p>
            <w:pPr>
              <w:pageBreakBefore w:val="0"/>
              <w:widowControl/>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小组以各供应商响应</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 xml:space="preserve">技术参数进行评审，完全符合磋商文件要求的得满分 </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 xml:space="preserve">分。 </w:t>
            </w:r>
          </w:p>
          <w:p>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2、技术参数中“★”部分有一项</w:t>
            </w:r>
            <w:r>
              <w:rPr>
                <w:rFonts w:hint="eastAsia" w:ascii="宋体" w:hAnsi="宋体" w:eastAsia="宋体" w:cs="宋体"/>
                <w:color w:val="auto"/>
                <w:sz w:val="21"/>
                <w:szCs w:val="21"/>
                <w:highlight w:val="none"/>
                <w:lang w:val="en-US" w:eastAsia="zh-CN"/>
              </w:rPr>
              <w:t>未响应、不满足或未演示</w:t>
            </w:r>
            <w:r>
              <w:rPr>
                <w:rFonts w:hint="eastAsia" w:ascii="宋体" w:hAnsi="宋体" w:eastAsia="宋体" w:cs="宋体"/>
                <w:color w:val="auto"/>
                <w:sz w:val="21"/>
                <w:szCs w:val="21"/>
                <w:highlight w:val="none"/>
              </w:rPr>
              <w:t xml:space="preserve">，在满分基础上扣 </w:t>
            </w:r>
            <w:r>
              <w:rPr>
                <w:rFonts w:hint="default"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 xml:space="preserve">分。其他项若出现负偏离，每项在满分基础上扣 </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分，扣完为止。</w:t>
            </w:r>
          </w:p>
          <w:p>
            <w:pPr>
              <w:pStyle w:val="8"/>
              <w:pageBreakBefore w:val="0"/>
              <w:kinsoku/>
              <w:wordWrap/>
              <w:overflowPunct/>
              <w:topLinePunct w:val="0"/>
              <w:bidi w:val="0"/>
              <w:spacing w:line="360" w:lineRule="auto"/>
              <w:rPr>
                <w:rFonts w:hint="default" w:eastAsia="楷体_GB2312"/>
                <w:color w:val="auto"/>
                <w:highlight w:val="none"/>
                <w:lang w:val="en-US" w:eastAsia="zh-CN"/>
              </w:rPr>
            </w:pPr>
            <w:r>
              <w:rPr>
                <w:rFonts w:hint="eastAsia" w:ascii="宋体" w:hAnsi="宋体" w:eastAsia="宋体" w:cs="宋体"/>
                <w:b/>
                <w:bCs/>
                <w:color w:val="auto"/>
                <w:kern w:val="2"/>
                <w:sz w:val="21"/>
                <w:szCs w:val="21"/>
                <w:highlight w:val="none"/>
                <w:lang w:val="en-US" w:eastAsia="zh-CN" w:bidi="ar-SA"/>
              </w:rPr>
              <w:t>供应商自行准备演示所需高清接头。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1" w:type="dxa"/>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售后服务</w:t>
            </w:r>
          </w:p>
          <w:p>
            <w:pPr>
              <w:pageBreakBefore w:val="0"/>
              <w:kinsoku/>
              <w:wordWrap/>
              <w:overflowPunct/>
              <w:topLinePunct w:val="0"/>
              <w:bidi w:val="0"/>
              <w:spacing w:line="360" w:lineRule="auto"/>
              <w:jc w:val="center"/>
              <w:rPr>
                <w:rFonts w:ascii="宋体" w:hAnsi="宋体"/>
                <w:color w:val="auto"/>
                <w:kern w:val="0"/>
                <w:szCs w:val="21"/>
                <w:highlight w:val="none"/>
              </w:rPr>
            </w:pPr>
            <w:r>
              <w:rPr>
                <w:rFonts w:hint="eastAsia" w:ascii="宋体" w:hAnsi="宋体" w:eastAsia="宋体" w:cs="宋体"/>
                <w:color w:val="auto"/>
                <w:kern w:val="0"/>
                <w:sz w:val="21"/>
                <w:szCs w:val="21"/>
                <w:highlight w:val="none"/>
              </w:rPr>
              <w:t>（</w:t>
            </w:r>
            <w:r>
              <w:rPr>
                <w:rFonts w:hint="default" w:ascii="宋体" w:hAnsi="宋体" w:cs="宋体"/>
                <w:color w:val="auto"/>
                <w:kern w:val="0"/>
                <w:sz w:val="21"/>
                <w:szCs w:val="21"/>
                <w:highlight w:val="none"/>
                <w:lang w:eastAsia="zh-CN"/>
              </w:rPr>
              <w:t>1</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c>
          <w:tcPr>
            <w:tcW w:w="6868" w:type="dxa"/>
            <w:noWrap w:val="0"/>
            <w:vAlign w:val="top"/>
          </w:tcPr>
          <w:p>
            <w:pPr>
              <w:pageBreakBefore w:val="0"/>
              <w:numPr>
                <w:ilvl w:val="0"/>
                <w:numId w:val="4"/>
              </w:numPr>
              <w:kinsoku/>
              <w:wordWrap/>
              <w:overflowPunct/>
              <w:topLinePunct w:val="0"/>
              <w:bidi w:val="0"/>
              <w:spacing w:line="360" w:lineRule="auto"/>
              <w:rPr>
                <w:rFonts w:hint="eastAsia"/>
                <w:color w:val="auto"/>
                <w:highlight w:val="none"/>
                <w:lang w:eastAsia="zh-CN"/>
              </w:rPr>
            </w:pPr>
            <w:r>
              <w:rPr>
                <w:rFonts w:hint="eastAsia" w:ascii="宋体" w:hAnsi="宋体" w:cs="宋体"/>
                <w:color w:val="auto"/>
                <w:sz w:val="21"/>
                <w:szCs w:val="21"/>
                <w:highlight w:val="none"/>
                <w:lang w:eastAsia="zh-CN"/>
              </w:rPr>
              <w:t>供应商对本项目服务范围理解清晰，</w:t>
            </w:r>
            <w:r>
              <w:rPr>
                <w:rFonts w:hint="eastAsia" w:ascii="宋体" w:hAnsi="宋体" w:eastAsia="宋体" w:cs="宋体"/>
                <w:color w:val="auto"/>
                <w:sz w:val="21"/>
                <w:szCs w:val="21"/>
                <w:highlight w:val="none"/>
              </w:rPr>
              <w:t>现场服务措施、应急处理方案</w:t>
            </w:r>
            <w:r>
              <w:rPr>
                <w:rFonts w:hint="eastAsia" w:ascii="宋体" w:hAnsi="宋体" w:cs="宋体"/>
                <w:color w:val="auto"/>
                <w:sz w:val="21"/>
                <w:szCs w:val="21"/>
                <w:highlight w:val="none"/>
                <w:lang w:eastAsia="zh-CN"/>
              </w:rPr>
              <w:t>可操作性强的得</w:t>
            </w:r>
            <w:r>
              <w:rPr>
                <w:rFonts w:hint="default" w:ascii="宋体" w:hAnsi="宋体" w:cs="宋体"/>
                <w:color w:val="auto"/>
                <w:sz w:val="21"/>
                <w:szCs w:val="21"/>
                <w:highlight w:val="none"/>
                <w:lang w:eastAsia="zh-CN"/>
              </w:rPr>
              <w:t>5</w:t>
            </w:r>
            <w:r>
              <w:rPr>
                <w:rFonts w:hint="eastAsia" w:ascii="宋体" w:hAnsi="宋体" w:cs="宋体"/>
                <w:color w:val="auto"/>
                <w:sz w:val="21"/>
                <w:szCs w:val="21"/>
                <w:highlight w:val="none"/>
                <w:lang w:val="en-US" w:eastAsia="zh-CN"/>
              </w:rPr>
              <w:t>分；</w:t>
            </w:r>
            <w:r>
              <w:rPr>
                <w:rFonts w:hint="eastAsia" w:ascii="宋体" w:hAnsi="宋体" w:cs="宋体"/>
                <w:color w:val="auto"/>
                <w:sz w:val="21"/>
                <w:szCs w:val="21"/>
                <w:highlight w:val="none"/>
                <w:lang w:eastAsia="zh-CN"/>
              </w:rPr>
              <w:t>供应商对本项目服务范围理解基本清晰，</w:t>
            </w:r>
            <w:r>
              <w:rPr>
                <w:rFonts w:hint="eastAsia" w:ascii="宋体" w:hAnsi="宋体" w:eastAsia="宋体" w:cs="宋体"/>
                <w:color w:val="auto"/>
                <w:sz w:val="21"/>
                <w:szCs w:val="21"/>
                <w:highlight w:val="none"/>
              </w:rPr>
              <w:t>现场服务措施、应急处理方案</w:t>
            </w:r>
            <w:r>
              <w:rPr>
                <w:rFonts w:hint="eastAsia" w:ascii="宋体" w:hAnsi="宋体" w:cs="宋体"/>
                <w:color w:val="auto"/>
                <w:sz w:val="21"/>
                <w:szCs w:val="21"/>
                <w:highlight w:val="none"/>
                <w:lang w:eastAsia="zh-CN"/>
              </w:rPr>
              <w:t>具有可操作性的得</w:t>
            </w:r>
            <w:r>
              <w:rPr>
                <w:rFonts w:hint="default" w:ascii="宋体" w:hAnsi="宋体" w:cs="宋体"/>
                <w:color w:val="auto"/>
                <w:sz w:val="21"/>
                <w:szCs w:val="21"/>
                <w:highlight w:val="none"/>
                <w:lang w:eastAsia="zh-CN"/>
              </w:rPr>
              <w:t>2</w:t>
            </w:r>
            <w:r>
              <w:rPr>
                <w:rFonts w:hint="eastAsia" w:ascii="宋体" w:hAnsi="宋体" w:cs="宋体"/>
                <w:color w:val="auto"/>
                <w:sz w:val="21"/>
                <w:szCs w:val="21"/>
                <w:highlight w:val="none"/>
                <w:lang w:val="en-US" w:eastAsia="zh-CN"/>
              </w:rPr>
              <w:t>分；</w:t>
            </w:r>
            <w:r>
              <w:rPr>
                <w:rFonts w:hint="eastAsia" w:ascii="宋体" w:hAnsi="宋体" w:cs="宋体"/>
                <w:color w:val="auto"/>
                <w:sz w:val="21"/>
                <w:szCs w:val="21"/>
                <w:highlight w:val="none"/>
                <w:lang w:eastAsia="zh-CN"/>
              </w:rPr>
              <w:t>供应商对本项目服务范围理解不清晰，</w:t>
            </w:r>
            <w:r>
              <w:rPr>
                <w:rFonts w:hint="eastAsia" w:ascii="宋体" w:hAnsi="宋体" w:eastAsia="宋体" w:cs="宋体"/>
                <w:color w:val="auto"/>
                <w:sz w:val="21"/>
                <w:szCs w:val="21"/>
                <w:highlight w:val="none"/>
              </w:rPr>
              <w:t>现场服务措施、应急处理方案</w:t>
            </w:r>
            <w:r>
              <w:rPr>
                <w:rFonts w:hint="eastAsia" w:ascii="宋体" w:hAnsi="宋体" w:cs="宋体"/>
                <w:color w:val="auto"/>
                <w:sz w:val="21"/>
                <w:szCs w:val="21"/>
                <w:highlight w:val="none"/>
                <w:lang w:eastAsia="zh-CN"/>
              </w:rPr>
              <w:t>不具有可操作性的不得分。</w:t>
            </w:r>
          </w:p>
          <w:p>
            <w:pPr>
              <w:pageBreakBefore w:val="0"/>
              <w:numPr>
                <w:ilvl w:val="0"/>
                <w:numId w:val="4"/>
              </w:numPr>
              <w:kinsoku/>
              <w:wordWrap/>
              <w:overflowPunct/>
              <w:topLinePunct w:val="0"/>
              <w:bidi w:val="0"/>
              <w:spacing w:line="360" w:lineRule="auto"/>
              <w:rPr>
                <w:rFonts w:hint="eastAsia"/>
                <w:color w:val="auto"/>
                <w:highlight w:val="none"/>
                <w:lang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针对本项目</w:t>
            </w:r>
            <w:r>
              <w:rPr>
                <w:rFonts w:hint="eastAsia" w:ascii="宋体" w:hAnsi="宋体" w:eastAsia="宋体" w:cs="宋体"/>
                <w:color w:val="auto"/>
                <w:sz w:val="21"/>
                <w:szCs w:val="21"/>
                <w:highlight w:val="none"/>
              </w:rPr>
              <w:t>售后服务管理体系</w:t>
            </w:r>
            <w:r>
              <w:rPr>
                <w:rFonts w:hint="eastAsia" w:ascii="宋体" w:hAnsi="宋体" w:cs="宋体"/>
                <w:color w:val="auto"/>
                <w:sz w:val="21"/>
                <w:szCs w:val="21"/>
                <w:highlight w:val="none"/>
                <w:lang w:eastAsia="zh-CN"/>
              </w:rPr>
              <w:t>完善、科学可行的得</w:t>
            </w:r>
            <w:r>
              <w:rPr>
                <w:rFonts w:hint="default" w:ascii="宋体" w:hAnsi="宋体" w:cs="宋体"/>
                <w:color w:val="auto"/>
                <w:sz w:val="21"/>
                <w:szCs w:val="21"/>
                <w:highlight w:val="none"/>
                <w:lang w:eastAsia="zh-CN"/>
              </w:rPr>
              <w:t>5</w:t>
            </w:r>
            <w:r>
              <w:rPr>
                <w:rFonts w:hint="eastAsia" w:ascii="宋体" w:hAnsi="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针对本项目</w:t>
            </w:r>
            <w:r>
              <w:rPr>
                <w:rFonts w:hint="eastAsia" w:ascii="宋体" w:hAnsi="宋体" w:eastAsia="宋体" w:cs="宋体"/>
                <w:color w:val="auto"/>
                <w:sz w:val="21"/>
                <w:szCs w:val="21"/>
                <w:highlight w:val="none"/>
              </w:rPr>
              <w:t>售后服务管理体系</w:t>
            </w:r>
            <w:r>
              <w:rPr>
                <w:rFonts w:hint="eastAsia" w:ascii="宋体" w:hAnsi="宋体" w:cs="宋体"/>
                <w:color w:val="auto"/>
                <w:sz w:val="21"/>
                <w:szCs w:val="21"/>
                <w:highlight w:val="none"/>
                <w:lang w:eastAsia="zh-CN"/>
              </w:rPr>
              <w:t>基本完善、基本科学可行的得</w:t>
            </w:r>
            <w:r>
              <w:rPr>
                <w:rFonts w:hint="default" w:ascii="宋体" w:hAnsi="宋体" w:cs="宋体"/>
                <w:color w:val="auto"/>
                <w:sz w:val="21"/>
                <w:szCs w:val="21"/>
                <w:highlight w:val="none"/>
                <w:lang w:eastAsia="zh-CN"/>
              </w:rPr>
              <w:t>2</w:t>
            </w:r>
            <w:r>
              <w:rPr>
                <w:rFonts w:hint="eastAsia" w:ascii="宋体" w:hAnsi="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针对本项目</w:t>
            </w:r>
            <w:r>
              <w:rPr>
                <w:rFonts w:hint="eastAsia" w:ascii="宋体" w:hAnsi="宋体" w:eastAsia="宋体" w:cs="宋体"/>
                <w:color w:val="auto"/>
                <w:sz w:val="21"/>
                <w:szCs w:val="21"/>
                <w:highlight w:val="none"/>
              </w:rPr>
              <w:t>售后服务管理体系</w:t>
            </w:r>
            <w:r>
              <w:rPr>
                <w:rFonts w:hint="eastAsia" w:ascii="宋体" w:hAnsi="宋体" w:cs="宋体"/>
                <w:color w:val="auto"/>
                <w:sz w:val="21"/>
                <w:szCs w:val="21"/>
                <w:highlight w:val="none"/>
                <w:lang w:eastAsia="zh-CN"/>
              </w:rPr>
              <w:t>不完善、不科学可行的不得分。</w:t>
            </w:r>
          </w:p>
          <w:p>
            <w:pPr>
              <w:pageBreakBefore w:val="0"/>
              <w:numPr>
                <w:ilvl w:val="0"/>
                <w:numId w:val="4"/>
              </w:numPr>
              <w:kinsoku/>
              <w:wordWrap/>
              <w:overflowPunct/>
              <w:topLinePunct w:val="0"/>
              <w:bidi w:val="0"/>
              <w:spacing w:line="360" w:lineRule="auto"/>
              <w:rPr>
                <w:rFonts w:hint="eastAsia"/>
                <w:color w:val="auto"/>
                <w:highlight w:val="none"/>
                <w:lang w:eastAsia="zh-CN"/>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售后服务人员</w:t>
            </w:r>
            <w:r>
              <w:rPr>
                <w:rFonts w:hint="eastAsia" w:ascii="宋体" w:hAnsi="宋体" w:cs="宋体"/>
                <w:color w:val="auto"/>
                <w:sz w:val="21"/>
                <w:szCs w:val="21"/>
                <w:highlight w:val="none"/>
                <w:lang w:eastAsia="zh-CN"/>
              </w:rPr>
              <w:t>配置科学、分工明确的得</w:t>
            </w:r>
            <w:r>
              <w:rPr>
                <w:rFonts w:hint="default" w:ascii="宋体" w:hAnsi="宋体" w:cs="宋体"/>
                <w:color w:val="auto"/>
                <w:sz w:val="21"/>
                <w:szCs w:val="21"/>
                <w:highlight w:val="none"/>
                <w:lang w:eastAsia="zh-CN"/>
              </w:rPr>
              <w:t>5</w:t>
            </w:r>
            <w:r>
              <w:rPr>
                <w:rFonts w:hint="eastAsia" w:ascii="宋体" w:hAnsi="宋体" w:cs="宋体"/>
                <w:color w:val="auto"/>
                <w:sz w:val="21"/>
                <w:szCs w:val="21"/>
                <w:highlight w:val="none"/>
                <w:lang w:val="en-US" w:eastAsia="zh-CN"/>
              </w:rPr>
              <w:t>分；</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售后服务人员</w:t>
            </w:r>
            <w:r>
              <w:rPr>
                <w:rFonts w:hint="eastAsia" w:ascii="宋体" w:hAnsi="宋体" w:cs="宋体"/>
                <w:color w:val="auto"/>
                <w:sz w:val="21"/>
                <w:szCs w:val="21"/>
                <w:highlight w:val="none"/>
                <w:lang w:eastAsia="zh-CN"/>
              </w:rPr>
              <w:t>配置合理、分工基本明确的得</w:t>
            </w:r>
            <w:r>
              <w:rPr>
                <w:rFonts w:hint="default" w:ascii="宋体" w:hAnsi="宋体" w:cs="宋体"/>
                <w:color w:val="auto"/>
                <w:sz w:val="21"/>
                <w:szCs w:val="21"/>
                <w:highlight w:val="none"/>
                <w:lang w:eastAsia="zh-CN"/>
              </w:rPr>
              <w:t>2</w:t>
            </w:r>
            <w:r>
              <w:rPr>
                <w:rFonts w:hint="eastAsia" w:ascii="宋体" w:hAnsi="宋体" w:cs="宋体"/>
                <w:color w:val="auto"/>
                <w:sz w:val="21"/>
                <w:szCs w:val="21"/>
                <w:highlight w:val="none"/>
                <w:lang w:val="en-US" w:eastAsia="zh-CN"/>
              </w:rPr>
              <w:t>分；</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售后服务人员</w:t>
            </w:r>
            <w:r>
              <w:rPr>
                <w:rFonts w:hint="eastAsia" w:ascii="宋体" w:hAnsi="宋体" w:cs="宋体"/>
                <w:color w:val="auto"/>
                <w:sz w:val="21"/>
                <w:szCs w:val="21"/>
                <w:highlight w:val="none"/>
                <w:lang w:eastAsia="zh-CN"/>
              </w:rPr>
              <w:t>配置不科学、分工不明确的不得分。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综合</w:t>
            </w:r>
            <w:r>
              <w:rPr>
                <w:rFonts w:hint="eastAsia" w:ascii="宋体" w:hAnsi="宋体" w:eastAsia="宋体" w:cs="宋体"/>
                <w:color w:val="auto"/>
                <w:kern w:val="0"/>
                <w:sz w:val="21"/>
                <w:szCs w:val="21"/>
                <w:highlight w:val="none"/>
                <w:lang w:val="en-US" w:eastAsia="zh-CN"/>
              </w:rPr>
              <w:t>实</w:t>
            </w:r>
            <w:r>
              <w:rPr>
                <w:rFonts w:hint="eastAsia" w:ascii="宋体" w:hAnsi="宋体" w:eastAsia="宋体" w:cs="宋体"/>
                <w:color w:val="auto"/>
                <w:kern w:val="0"/>
                <w:sz w:val="21"/>
                <w:szCs w:val="21"/>
                <w:highlight w:val="none"/>
              </w:rPr>
              <w:t>力</w:t>
            </w:r>
          </w:p>
          <w:p>
            <w:pPr>
              <w:pageBreakBefore w:val="0"/>
              <w:kinsoku/>
              <w:wordWrap/>
              <w:overflowPunct/>
              <w:topLinePunct w:val="0"/>
              <w:bidi w:val="0"/>
              <w:spacing w:line="360" w:lineRule="auto"/>
              <w:jc w:val="center"/>
              <w:rPr>
                <w:rFonts w:hint="eastAsia" w:ascii="宋体" w:hAnsi="宋体"/>
                <w:color w:val="auto"/>
                <w:kern w:val="0"/>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868" w:type="dxa"/>
            <w:noWrap w:val="0"/>
            <w:vAlign w:val="top"/>
          </w:tcPr>
          <w:p>
            <w:pPr>
              <w:pageBreakBefore w:val="0"/>
              <w:numPr>
                <w:ilvl w:val="0"/>
                <w:numId w:val="5"/>
              </w:numPr>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具有出版物经营许可证、广播电视节目制作经营许可证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每有一个得</w:t>
            </w:r>
            <w:r>
              <w:rPr>
                <w:rFonts w:hint="default" w:ascii="宋体" w:hAnsi="宋体" w:eastAsia="宋体" w:cs="宋体"/>
                <w:color w:val="auto"/>
                <w:sz w:val="21"/>
                <w:szCs w:val="21"/>
                <w:highlight w:val="none"/>
              </w:rPr>
              <w:t>3</w:t>
            </w:r>
            <w:r>
              <w:rPr>
                <w:rFonts w:hint="eastAsia" w:ascii="宋体" w:hAnsi="宋体" w:eastAsia="宋体" w:cs="宋体"/>
                <w:color w:val="auto"/>
                <w:sz w:val="21"/>
                <w:szCs w:val="21"/>
                <w:highlight w:val="none"/>
              </w:rPr>
              <w:t>分，满分</w:t>
            </w:r>
            <w:r>
              <w:rPr>
                <w:rFonts w:hint="default" w:ascii="宋体" w:hAnsi="宋体" w:eastAsia="宋体" w:cs="宋体"/>
                <w:color w:val="auto"/>
                <w:sz w:val="21"/>
                <w:szCs w:val="21"/>
                <w:highlight w:val="none"/>
              </w:rPr>
              <w:t>6</w:t>
            </w:r>
            <w:r>
              <w:rPr>
                <w:rFonts w:hint="eastAsia" w:ascii="宋体" w:hAnsi="宋体" w:eastAsia="宋体" w:cs="宋体"/>
                <w:color w:val="auto"/>
                <w:sz w:val="21"/>
                <w:szCs w:val="21"/>
                <w:highlight w:val="none"/>
              </w:rPr>
              <w:t>分。</w:t>
            </w:r>
            <w:r>
              <w:rPr>
                <w:rFonts w:hint="eastAsia" w:ascii="宋体" w:hAnsi="宋体" w:eastAsia="宋体" w:cs="宋体"/>
                <w:b/>
                <w:bCs/>
                <w:color w:val="auto"/>
                <w:sz w:val="21"/>
                <w:szCs w:val="21"/>
                <w:highlight w:val="none"/>
              </w:rPr>
              <w:t>（提供有效证明资料复印件加盖</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公章）</w:t>
            </w:r>
          </w:p>
          <w:p>
            <w:pPr>
              <w:pStyle w:val="2"/>
              <w:numPr>
                <w:ilvl w:val="0"/>
                <w:numId w:val="0"/>
              </w:numPr>
              <w:spacing w:line="360" w:lineRule="auto"/>
              <w:ind w:left="0" w:leftChars="0" w:firstLine="0" w:firstLineChars="0"/>
              <w:rPr>
                <w:rFonts w:hint="eastAsia"/>
                <w:color w:val="auto"/>
                <w:highlight w:val="none"/>
              </w:rPr>
            </w:pPr>
            <w:r>
              <w:rPr>
                <w:rFonts w:hint="eastAsia" w:ascii="宋体" w:hAnsi="宋体" w:eastAsia="宋体" w:cs="宋体"/>
                <w:color w:val="auto"/>
                <w:sz w:val="21"/>
                <w:szCs w:val="21"/>
                <w:highlight w:val="none"/>
                <w:lang w:val="en-US" w:eastAsia="zh-CN"/>
              </w:rPr>
              <w:t>2、供应商</w:t>
            </w:r>
            <w:r>
              <w:rPr>
                <w:rFonts w:hint="eastAsia" w:ascii="宋体" w:hAnsi="宋体" w:eastAsia="宋体" w:cs="宋体"/>
                <w:color w:val="auto"/>
                <w:sz w:val="21"/>
                <w:szCs w:val="21"/>
                <w:highlight w:val="none"/>
                <w:lang w:val="en-US" w:eastAsia="zh-Hans"/>
              </w:rPr>
              <w:t>具有</w:t>
            </w:r>
            <w:r>
              <w:rPr>
                <w:rFonts w:hint="eastAsia" w:ascii="宋体" w:hAnsi="宋体" w:eastAsia="宋体" w:cs="宋体"/>
                <w:color w:val="auto"/>
                <w:kern w:val="2"/>
                <w:sz w:val="21"/>
                <w:szCs w:val="21"/>
                <w:highlight w:val="none"/>
                <w:lang w:val="en-US" w:eastAsia="zh-CN" w:bidi="ar-SA"/>
              </w:rPr>
              <w:t>具有质量管理体系认证证书、环境管理体系认证证书、 信息安全管理体系认证证书、 信息技术服务管理体系认证证书，</w:t>
            </w:r>
            <w:r>
              <w:rPr>
                <w:rFonts w:hint="eastAsia" w:ascii="宋体" w:hAnsi="宋体" w:eastAsia="宋体" w:cs="宋体"/>
                <w:color w:val="auto"/>
                <w:sz w:val="21"/>
                <w:szCs w:val="21"/>
                <w:highlight w:val="none"/>
                <w:lang w:val="en-US" w:eastAsia="zh-Hans"/>
              </w:rPr>
              <w:t>每项得</w:t>
            </w:r>
            <w:r>
              <w:rPr>
                <w:rFonts w:hint="default" w:ascii="宋体" w:hAnsi="宋体" w:cs="宋体"/>
                <w:color w:val="auto"/>
                <w:sz w:val="21"/>
                <w:szCs w:val="21"/>
                <w:highlight w:val="none"/>
                <w:lang w:eastAsia="zh-Hans"/>
              </w:rPr>
              <w:t>1</w:t>
            </w:r>
            <w:r>
              <w:rPr>
                <w:rFonts w:hint="eastAsia" w:ascii="宋体" w:hAnsi="宋体" w:eastAsia="宋体" w:cs="宋体"/>
                <w:color w:val="auto"/>
                <w:sz w:val="21"/>
                <w:szCs w:val="21"/>
                <w:highlight w:val="none"/>
                <w:lang w:val="en-US" w:eastAsia="zh-Hans"/>
              </w:rPr>
              <w:t>分</w:t>
            </w:r>
            <w:r>
              <w:rPr>
                <w:rFonts w:hint="default" w:ascii="宋体" w:hAnsi="宋体" w:cs="宋体"/>
                <w:color w:val="auto"/>
                <w:sz w:val="21"/>
                <w:szCs w:val="21"/>
                <w:highlight w:val="none"/>
                <w:lang w:eastAsia="zh-Hans"/>
              </w:rPr>
              <w:t>，</w:t>
            </w:r>
            <w:r>
              <w:rPr>
                <w:rFonts w:hint="eastAsia" w:ascii="宋体" w:hAnsi="宋体" w:cs="宋体"/>
                <w:color w:val="auto"/>
                <w:sz w:val="21"/>
                <w:szCs w:val="21"/>
                <w:highlight w:val="none"/>
                <w:lang w:val="en-US" w:eastAsia="zh-Hans"/>
              </w:rPr>
              <w:t>满分</w:t>
            </w:r>
            <w:r>
              <w:rPr>
                <w:rFonts w:hint="default" w:ascii="宋体" w:hAnsi="宋体" w:cs="宋体"/>
                <w:color w:val="auto"/>
                <w:sz w:val="21"/>
                <w:szCs w:val="21"/>
                <w:highlight w:val="none"/>
                <w:lang w:eastAsia="zh-Hans"/>
              </w:rPr>
              <w:t>4</w:t>
            </w:r>
            <w:r>
              <w:rPr>
                <w:rFonts w:hint="eastAsia" w:ascii="宋体" w:hAnsi="宋体" w:cs="宋体"/>
                <w:color w:val="auto"/>
                <w:sz w:val="21"/>
                <w:szCs w:val="21"/>
                <w:highlight w:val="none"/>
                <w:lang w:val="en-US" w:eastAsia="zh-Hans"/>
              </w:rPr>
              <w:t>分</w:t>
            </w:r>
            <w:r>
              <w:rPr>
                <w:rFonts w:hint="eastAsia" w:ascii="宋体" w:hAnsi="宋体" w:eastAsia="宋体" w:cs="宋体"/>
                <w:b/>
                <w:bCs/>
                <w:color w:val="auto"/>
                <w:sz w:val="21"/>
                <w:szCs w:val="21"/>
                <w:highlight w:val="none"/>
              </w:rPr>
              <w:t>（提供有效证明资料复印件加盖</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公章）</w:t>
            </w:r>
            <w:r>
              <w:rPr>
                <w:rFonts w:hint="eastAsia" w:ascii="宋体" w:hAnsi="宋体" w:cs="宋体"/>
                <w:b w:val="0"/>
                <w:bCs w:val="0"/>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noWrap w:val="0"/>
            <w:vAlign w:val="center"/>
          </w:tcPr>
          <w:p>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p>
            <w:pPr>
              <w:pageBreakBefore w:val="0"/>
              <w:kinsoku/>
              <w:wordWrap/>
              <w:overflowPunct/>
              <w:topLinePunct w:val="0"/>
              <w:bidi w:val="0"/>
              <w:spacing w:line="360" w:lineRule="auto"/>
              <w:jc w:val="center"/>
              <w:rPr>
                <w:rFonts w:hint="eastAsia" w:ascii="宋体" w:hAnsi="宋体"/>
                <w:color w:val="auto"/>
                <w:kern w:val="0"/>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rPr>
              <w:t>分）</w:t>
            </w:r>
          </w:p>
        </w:tc>
        <w:tc>
          <w:tcPr>
            <w:tcW w:w="6868" w:type="dxa"/>
            <w:noWrap w:val="0"/>
            <w:vAlign w:val="top"/>
          </w:tcPr>
          <w:p>
            <w:pPr>
              <w:pageBreakBefore w:val="0"/>
              <w:kinsoku/>
              <w:wordWrap/>
              <w:overflowPunct/>
              <w:topLinePunct w:val="0"/>
              <w:bidi w:val="0"/>
              <w:spacing w:line="360" w:lineRule="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01</w:t>
            </w:r>
            <w:r>
              <w:rPr>
                <w:rFonts w:hint="default" w:ascii="宋体" w:hAnsi="宋体" w:eastAsia="宋体" w:cs="宋体"/>
                <w:color w:val="auto"/>
                <w:sz w:val="21"/>
                <w:szCs w:val="21"/>
                <w:highlight w:val="none"/>
              </w:rPr>
              <w:t>8</w:t>
            </w:r>
            <w:r>
              <w:rPr>
                <w:rFonts w:hint="eastAsia" w:ascii="宋体" w:hAnsi="宋体" w:eastAsia="宋体" w:cs="宋体"/>
                <w:color w:val="auto"/>
                <w:sz w:val="21"/>
                <w:szCs w:val="21"/>
                <w:highlight w:val="none"/>
              </w:rPr>
              <w:t>年1月1日至今</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承担过类似项目业绩，每提供1份得2分，满分</w:t>
            </w:r>
            <w:r>
              <w:rPr>
                <w:rFonts w:hint="eastAsia"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rPr>
              <w:t>分。</w:t>
            </w:r>
            <w:r>
              <w:rPr>
                <w:rFonts w:hint="eastAsia" w:ascii="宋体" w:hAnsi="宋体" w:eastAsia="宋体" w:cs="宋体"/>
                <w:b/>
                <w:bCs/>
                <w:color w:val="auto"/>
                <w:sz w:val="21"/>
                <w:szCs w:val="21"/>
                <w:highlight w:val="none"/>
              </w:rPr>
              <w:t>（以合同签订时间为准，提供合同复印件加盖</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noWrap w:val="0"/>
            <w:vAlign w:val="center"/>
          </w:tcPr>
          <w:p>
            <w:pPr>
              <w:pageBreakBefore w:val="0"/>
              <w:kinsoku/>
              <w:wordWrap/>
              <w:overflowPunct/>
              <w:topLinePunct w:val="0"/>
              <w:bidi w:val="0"/>
              <w:spacing w:line="360" w:lineRule="auto"/>
              <w:jc w:val="center"/>
              <w:rPr>
                <w:rFonts w:hint="eastAsia" w:ascii="宋体" w:hAnsi="宋体" w:cs="宋体"/>
                <w:color w:val="auto"/>
                <w:sz w:val="21"/>
                <w:szCs w:val="21"/>
                <w:highlight w:val="none"/>
                <w:lang w:val="en-US" w:eastAsia="zh-Hans"/>
              </w:rPr>
            </w:pPr>
            <w:r>
              <w:rPr>
                <w:rFonts w:hint="eastAsia" w:ascii="宋体" w:hAnsi="宋体" w:cs="宋体"/>
                <w:color w:val="auto"/>
                <w:sz w:val="21"/>
                <w:szCs w:val="21"/>
                <w:highlight w:val="none"/>
                <w:lang w:val="en-US" w:eastAsia="zh-Hans"/>
              </w:rPr>
              <w:t>数据迁移承诺函</w:t>
            </w:r>
          </w:p>
          <w:p>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lang w:val="en-US" w:eastAsia="zh-Hans"/>
              </w:rPr>
            </w:pPr>
            <w:r>
              <w:rPr>
                <w:rFonts w:hint="default" w:ascii="宋体" w:hAnsi="宋体" w:cs="宋体"/>
                <w:color w:val="auto"/>
                <w:sz w:val="21"/>
                <w:szCs w:val="21"/>
                <w:highlight w:val="none"/>
                <w:lang w:eastAsia="zh-Hans"/>
              </w:rPr>
              <w:t>（10</w:t>
            </w:r>
            <w:r>
              <w:rPr>
                <w:rFonts w:hint="eastAsia" w:ascii="宋体" w:hAnsi="宋体" w:cs="宋体"/>
                <w:color w:val="auto"/>
                <w:sz w:val="21"/>
                <w:szCs w:val="21"/>
                <w:highlight w:val="none"/>
                <w:lang w:val="en-US" w:eastAsia="zh-Hans"/>
              </w:rPr>
              <w:t>分</w:t>
            </w:r>
            <w:r>
              <w:rPr>
                <w:rFonts w:hint="default" w:ascii="宋体" w:hAnsi="宋体" w:cs="宋体"/>
                <w:color w:val="auto"/>
                <w:sz w:val="21"/>
                <w:szCs w:val="21"/>
                <w:highlight w:val="none"/>
                <w:lang w:eastAsia="zh-Hans"/>
              </w:rPr>
              <w:t>）</w:t>
            </w:r>
          </w:p>
        </w:tc>
        <w:tc>
          <w:tcPr>
            <w:tcW w:w="6868" w:type="dxa"/>
            <w:noWrap w:val="0"/>
            <w:vAlign w:val="top"/>
          </w:tcPr>
          <w:p>
            <w:pPr>
              <w:pStyle w:val="2"/>
              <w:spacing w:after="0"/>
              <w:ind w:left="0"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提供平台能与学校</w:t>
            </w:r>
            <w:r>
              <w:rPr>
                <w:rFonts w:hint="eastAsia" w:ascii="宋体" w:hAnsi="宋体" w:eastAsia="宋体" w:cs="宋体"/>
                <w:color w:val="auto"/>
                <w:kern w:val="2"/>
                <w:sz w:val="21"/>
                <w:szCs w:val="21"/>
                <w:highlight w:val="none"/>
                <w:lang w:val="en-US" w:eastAsia="zh-Hans" w:bidi="ar-SA"/>
              </w:rPr>
              <w:t>前期</w:t>
            </w:r>
            <w:r>
              <w:rPr>
                <w:rFonts w:hint="eastAsia" w:ascii="宋体" w:hAnsi="宋体" w:eastAsia="宋体" w:cs="宋体"/>
                <w:color w:val="auto"/>
                <w:kern w:val="2"/>
                <w:sz w:val="21"/>
                <w:szCs w:val="21"/>
                <w:highlight w:val="none"/>
                <w:lang w:val="en-US" w:eastAsia="zh-CN" w:bidi="ar-SA"/>
              </w:rPr>
              <w:t>网络教学平台</w:t>
            </w:r>
            <w:r>
              <w:rPr>
                <w:rFonts w:hint="eastAsia" w:ascii="宋体" w:hAnsi="宋体" w:eastAsia="宋体" w:cs="宋体"/>
                <w:color w:val="auto"/>
                <w:kern w:val="2"/>
                <w:sz w:val="21"/>
                <w:szCs w:val="21"/>
                <w:highlight w:val="none"/>
                <w:lang w:val="en-US" w:eastAsia="zh-Hans" w:bidi="ar-SA"/>
              </w:rPr>
              <w:t>所有过程性</w:t>
            </w:r>
            <w:r>
              <w:rPr>
                <w:rFonts w:hint="default" w:ascii="宋体" w:hAnsi="宋体" w:eastAsia="宋体" w:cs="宋体"/>
                <w:color w:val="auto"/>
                <w:kern w:val="2"/>
                <w:sz w:val="21"/>
                <w:szCs w:val="21"/>
                <w:highlight w:val="none"/>
                <w:lang w:eastAsia="zh-Hans" w:bidi="ar-SA"/>
              </w:rPr>
              <w:t>、</w:t>
            </w:r>
            <w:r>
              <w:rPr>
                <w:rFonts w:hint="eastAsia" w:ascii="宋体" w:hAnsi="宋体" w:eastAsia="宋体" w:cs="宋体"/>
                <w:color w:val="auto"/>
                <w:kern w:val="2"/>
                <w:sz w:val="21"/>
                <w:szCs w:val="21"/>
                <w:highlight w:val="none"/>
                <w:lang w:val="en-US" w:eastAsia="zh-Hans" w:bidi="ar-SA"/>
              </w:rPr>
              <w:t>成果性数据完整迁移</w:t>
            </w:r>
            <w:r>
              <w:rPr>
                <w:rFonts w:hint="eastAsia" w:ascii="宋体" w:hAnsi="宋体" w:eastAsia="宋体" w:cs="宋体"/>
                <w:color w:val="auto"/>
                <w:kern w:val="2"/>
                <w:sz w:val="21"/>
                <w:szCs w:val="21"/>
                <w:highlight w:val="none"/>
                <w:lang w:val="en-US" w:eastAsia="zh-CN" w:bidi="ar-SA"/>
              </w:rPr>
              <w:t>的证明或承诺函，得</w:t>
            </w:r>
            <w:r>
              <w:rPr>
                <w:rFonts w:hint="default" w:ascii="宋体" w:hAnsi="宋体" w:eastAsia="宋体" w:cs="宋体"/>
                <w:color w:val="auto"/>
                <w:kern w:val="2"/>
                <w:sz w:val="21"/>
                <w:szCs w:val="21"/>
                <w:highlight w:val="none"/>
                <w:lang w:eastAsia="zh-CN" w:bidi="ar-SA"/>
              </w:rPr>
              <w:t>10</w:t>
            </w:r>
            <w:r>
              <w:rPr>
                <w:rFonts w:hint="eastAsia" w:ascii="宋体" w:hAnsi="宋体" w:eastAsia="宋体" w:cs="宋体"/>
                <w:color w:val="auto"/>
                <w:kern w:val="2"/>
                <w:sz w:val="21"/>
                <w:szCs w:val="21"/>
                <w:highlight w:val="none"/>
                <w:lang w:val="en-US" w:eastAsia="zh-CN" w:bidi="ar-SA"/>
              </w:rPr>
              <w:t>分；不提供不得分</w:t>
            </w:r>
            <w:r>
              <w:rPr>
                <w:rFonts w:hint="eastAsia" w:ascii="宋体" w:hAnsi="宋体" w:eastAsia="宋体" w:cs="宋体"/>
                <w:b/>
                <w:bCs/>
                <w:color w:val="auto"/>
                <w:kern w:val="2"/>
                <w:sz w:val="21"/>
                <w:szCs w:val="21"/>
                <w:highlight w:val="none"/>
                <w:lang w:val="en-US" w:eastAsia="zh-CN" w:bidi="ar-SA"/>
              </w:rPr>
              <w:t>（提供承诺书原件）</w:t>
            </w:r>
            <w:r>
              <w:rPr>
                <w:rFonts w:hint="eastAsia"/>
                <w:b/>
                <w:bCs/>
                <w:color w:val="auto"/>
                <w:highlight w:val="none"/>
              </w:rPr>
              <w:t>若中标后中标单位不能实现该项功能，</w:t>
            </w:r>
            <w:r>
              <w:rPr>
                <w:rFonts w:hint="eastAsia" w:ascii="宋体"/>
                <w:b/>
                <w:bCs/>
                <w:color w:val="auto"/>
                <w:szCs w:val="21"/>
                <w:highlight w:val="none"/>
              </w:rPr>
              <w:t>视为提供虚假材料谋取中标，终止合同并纳入失信名单，追究相关责任</w:t>
            </w:r>
            <w:r>
              <w:rPr>
                <w:rFonts w:hint="eastAsia"/>
                <w:b/>
                <w:bCs/>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9" w:type="dxa"/>
            <w:gridSpan w:val="2"/>
            <w:noWrap w:val="0"/>
            <w:vAlign w:val="center"/>
          </w:tcPr>
          <w:p>
            <w:pPr>
              <w:pageBreakBefore w:val="0"/>
              <w:kinsoku/>
              <w:wordWrap/>
              <w:overflowPunct/>
              <w:topLinePunct w:val="0"/>
              <w:bidi w:val="0"/>
              <w:spacing w:line="360" w:lineRule="auto"/>
              <w:jc w:val="center"/>
              <w:rPr>
                <w:rFonts w:hint="eastAsia" w:ascii="宋体" w:hAnsi="宋体" w:cs="宋体"/>
                <w:color w:val="auto"/>
                <w:szCs w:val="21"/>
                <w:highlight w:val="none"/>
                <w:lang w:val="en-US" w:eastAsia="zh-CN"/>
              </w:rPr>
            </w:pPr>
            <w:r>
              <w:rPr>
                <w:rFonts w:hint="eastAsia" w:ascii="宋体" w:hAnsi="宋体" w:eastAsia="宋体" w:cs="宋体"/>
                <w:color w:val="auto"/>
                <w:kern w:val="0"/>
                <w:sz w:val="21"/>
                <w:szCs w:val="21"/>
                <w:highlight w:val="none"/>
              </w:rPr>
              <w:t>总分：100分</w:t>
            </w:r>
          </w:p>
        </w:tc>
      </w:tr>
    </w:tbl>
    <w:p>
      <w:pPr>
        <w:pStyle w:val="3"/>
        <w:jc w:val="center"/>
        <w:rPr>
          <w:rFonts w:hint="eastAsia"/>
          <w:color w:val="auto"/>
          <w:highlight w:val="none"/>
        </w:rPr>
      </w:pPr>
    </w:p>
    <w:p>
      <w:pPr>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3"/>
        <w:jc w:val="center"/>
        <w:rPr>
          <w:color w:val="auto"/>
          <w:highlight w:val="none"/>
        </w:rPr>
      </w:pPr>
      <w:r>
        <w:rPr>
          <w:rFonts w:hint="eastAsia"/>
          <w:color w:val="auto"/>
          <w:highlight w:val="none"/>
        </w:rPr>
        <w:t>第六章竞争性磋商响应文件格式</w:t>
      </w:r>
    </w:p>
    <w:p>
      <w:pPr>
        <w:pStyle w:val="4"/>
        <w:spacing w:line="480" w:lineRule="auto"/>
        <w:rPr>
          <w:rFonts w:hint="eastAsia" w:ascii="宋体" w:hAnsi="宋体" w:eastAsia="宋体" w:cs="Arial"/>
          <w:bCs w:val="0"/>
          <w:color w:val="auto"/>
          <w:highlight w:val="none"/>
        </w:rPr>
      </w:pPr>
    </w:p>
    <w:p>
      <w:pPr>
        <w:pStyle w:val="4"/>
        <w:spacing w:line="480" w:lineRule="auto"/>
        <w:jc w:val="both"/>
        <w:rPr>
          <w:rFonts w:hint="eastAsia" w:ascii="宋体" w:hAnsi="宋体" w:eastAsia="宋体" w:cs="Arial"/>
          <w:bCs w:val="0"/>
          <w:color w:val="auto"/>
          <w:highlight w:val="none"/>
        </w:rPr>
      </w:pPr>
    </w:p>
    <w:p>
      <w:pPr>
        <w:pStyle w:val="4"/>
        <w:spacing w:line="480" w:lineRule="auto"/>
        <w:rPr>
          <w:rFonts w:ascii="宋体" w:hAnsi="宋体" w:eastAsia="宋体" w:cs="Arial"/>
          <w:bCs w:val="0"/>
          <w:color w:val="auto"/>
          <w:highlight w:val="none"/>
        </w:rPr>
      </w:pPr>
      <w:r>
        <w:rPr>
          <w:rFonts w:hint="eastAsia" w:ascii="宋体" w:hAnsi="宋体" w:eastAsia="宋体" w:cs="Arial"/>
          <w:bCs w:val="0"/>
          <w:color w:val="auto"/>
          <w:highlight w:val="none"/>
        </w:rPr>
        <w:t>竞争性磋商响应文件</w:t>
      </w:r>
      <w:bookmarkEnd w:id="132"/>
      <w:bookmarkEnd w:id="133"/>
    </w:p>
    <w:p>
      <w:pPr>
        <w:jc w:val="center"/>
        <w:rPr>
          <w:rFonts w:ascii="宋体"/>
          <w:b/>
          <w:color w:val="auto"/>
          <w:sz w:val="72"/>
          <w:highlight w:val="none"/>
        </w:rPr>
      </w:pPr>
    </w:p>
    <w:p>
      <w:pPr>
        <w:pStyle w:val="4"/>
        <w:spacing w:line="480" w:lineRule="auto"/>
        <w:rPr>
          <w:rFonts w:ascii="宋体" w:hAnsi="宋体" w:eastAsia="宋体" w:cs="Arial"/>
          <w:bCs w:val="0"/>
          <w:color w:val="auto"/>
          <w:highlight w:val="none"/>
        </w:rPr>
      </w:pPr>
      <w:bookmarkStart w:id="134" w:name="_Toc504128238"/>
      <w:bookmarkStart w:id="135" w:name="_Toc29215475"/>
      <w:r>
        <w:rPr>
          <w:rFonts w:hint="eastAsia" w:ascii="宋体" w:hAnsi="宋体" w:eastAsia="宋体" w:cs="Arial"/>
          <w:bCs w:val="0"/>
          <w:color w:val="auto"/>
          <w:highlight w:val="none"/>
        </w:rPr>
        <w:t>（正或副本）</w:t>
      </w:r>
      <w:bookmarkEnd w:id="134"/>
      <w:bookmarkEnd w:id="135"/>
    </w:p>
    <w:p>
      <w:pPr>
        <w:jc w:val="both"/>
        <w:rPr>
          <w:rFonts w:ascii="宋体"/>
          <w:b/>
          <w:color w:val="auto"/>
          <w:sz w:val="36"/>
          <w:highlight w:val="none"/>
        </w:rPr>
      </w:pPr>
    </w:p>
    <w:p>
      <w:pPr>
        <w:ind w:left="1790" w:leftChars="250" w:hanging="1265" w:hangingChars="350"/>
        <w:rPr>
          <w:rFonts w:hint="default" w:ascii="宋体" w:hAnsi="宋体" w:eastAsia="宋体"/>
          <w:b/>
          <w:color w:val="auto"/>
          <w:sz w:val="36"/>
          <w:highlight w:val="none"/>
          <w:lang w:val="en-US" w:eastAsia="zh-CN"/>
        </w:rPr>
      </w:pPr>
      <w:r>
        <w:rPr>
          <w:rFonts w:hint="eastAsia" w:ascii="宋体" w:hAnsi="宋体"/>
          <w:b/>
          <w:color w:val="auto"/>
          <w:sz w:val="36"/>
          <w:highlight w:val="none"/>
        </w:rPr>
        <w:t>项目名称：</w:t>
      </w:r>
      <w:r>
        <w:rPr>
          <w:rFonts w:hint="default" w:ascii="宋体" w:hAnsi="宋体"/>
          <w:b/>
          <w:color w:val="auto"/>
          <w:sz w:val="36"/>
          <w:highlight w:val="none"/>
          <w:lang w:val="en-US" w:eastAsia="zh-CN"/>
        </w:rPr>
        <w:t>扬州高等职业技术学校网络教学平台及“一人一社团”网络选修课程项目</w:t>
      </w:r>
    </w:p>
    <w:p>
      <w:pPr>
        <w:ind w:firstLine="542" w:firstLineChars="150"/>
        <w:rPr>
          <w:rFonts w:hint="default" w:ascii="宋体" w:eastAsia="宋体"/>
          <w:b/>
          <w:color w:val="auto"/>
          <w:sz w:val="36"/>
          <w:highlight w:val="none"/>
          <w:lang w:val="en-US" w:eastAsia="zh-CN"/>
        </w:rPr>
      </w:pPr>
      <w:r>
        <w:rPr>
          <w:rFonts w:hint="eastAsia" w:ascii="宋体" w:hAnsi="宋体"/>
          <w:b/>
          <w:color w:val="auto"/>
          <w:sz w:val="36"/>
          <w:highlight w:val="none"/>
        </w:rPr>
        <w:t>项目编号：</w:t>
      </w:r>
      <w:r>
        <w:rPr>
          <w:rFonts w:hint="default" w:ascii="宋体" w:hAnsi="宋体"/>
          <w:b/>
          <w:color w:val="auto"/>
          <w:sz w:val="36"/>
          <w:highlight w:val="none"/>
          <w:lang w:val="en-US" w:eastAsia="zh-CN"/>
        </w:rPr>
        <w:t>YZZYGZXCG007</w:t>
      </w:r>
    </w:p>
    <w:p>
      <w:pPr>
        <w:ind w:firstLine="542" w:firstLineChars="150"/>
        <w:rPr>
          <w:rFonts w:ascii="宋体"/>
          <w:b/>
          <w:color w:val="auto"/>
          <w:sz w:val="36"/>
          <w:highlight w:val="none"/>
          <w:u w:val="single"/>
        </w:rPr>
      </w:pPr>
      <w:r>
        <w:rPr>
          <w:rFonts w:hint="eastAsia" w:ascii="宋体" w:hAnsi="宋体"/>
          <w:b/>
          <w:color w:val="auto"/>
          <w:sz w:val="36"/>
          <w:highlight w:val="none"/>
        </w:rPr>
        <w:t>磋商供应商名称：</w:t>
      </w:r>
    </w:p>
    <w:p>
      <w:pPr>
        <w:ind w:firstLine="542" w:firstLineChars="150"/>
        <w:rPr>
          <w:rFonts w:hint="eastAsia" w:ascii="宋体" w:hAnsi="宋体"/>
          <w:b/>
          <w:color w:val="auto"/>
          <w:sz w:val="36"/>
          <w:highlight w:val="none"/>
        </w:rPr>
      </w:pPr>
      <w:r>
        <w:rPr>
          <w:rFonts w:hint="eastAsia" w:ascii="宋体" w:hAnsi="宋体"/>
          <w:b/>
          <w:color w:val="auto"/>
          <w:sz w:val="36"/>
          <w:highlight w:val="none"/>
        </w:rPr>
        <w:t>日期：</w:t>
      </w:r>
    </w:p>
    <w:p>
      <w:pPr>
        <w:pStyle w:val="8"/>
        <w:rPr>
          <w:color w:val="auto"/>
          <w:highlight w:val="none"/>
          <w:lang w:val="zh-CN"/>
        </w:rPr>
      </w:pPr>
    </w:p>
    <w:p>
      <w:pPr>
        <w:autoSpaceDE w:val="0"/>
        <w:autoSpaceDN w:val="0"/>
        <w:adjustRightInd w:val="0"/>
        <w:spacing w:line="360" w:lineRule="auto"/>
        <w:rPr>
          <w:rFonts w:ascii="宋体" w:hAnsi="宋体"/>
          <w:b/>
          <w:bCs/>
          <w:color w:val="auto"/>
          <w:sz w:val="28"/>
          <w:szCs w:val="28"/>
          <w:highlight w:val="none"/>
        </w:rPr>
      </w:pPr>
      <w:r>
        <w:rPr>
          <w:rFonts w:hint="eastAsia" w:ascii="宋体" w:hAnsi="宋体" w:cs="宋体"/>
          <w:b/>
          <w:bCs/>
          <w:color w:val="auto"/>
          <w:sz w:val="28"/>
          <w:szCs w:val="28"/>
          <w:highlight w:val="none"/>
          <w:lang w:val="zh-CN"/>
        </w:rPr>
        <w:t>说明：</w:t>
      </w:r>
    </w:p>
    <w:p>
      <w:pPr>
        <w:autoSpaceDE w:val="0"/>
        <w:autoSpaceDN w:val="0"/>
        <w:adjustRightInd w:val="0"/>
        <w:spacing w:line="360" w:lineRule="auto"/>
        <w:ind w:firstLine="618" w:firstLineChars="220"/>
        <w:rPr>
          <w:rFonts w:ascii="宋体" w:hAnsi="宋体"/>
          <w:b/>
          <w:bCs/>
          <w:color w:val="auto"/>
          <w:sz w:val="28"/>
          <w:szCs w:val="28"/>
          <w:highlight w:val="none"/>
        </w:rPr>
      </w:pPr>
      <w:r>
        <w:rPr>
          <w:rFonts w:hint="eastAsia" w:ascii="宋体" w:hAnsi="宋体" w:cs="宋体"/>
          <w:b/>
          <w:bCs/>
          <w:color w:val="auto"/>
          <w:sz w:val="28"/>
          <w:szCs w:val="28"/>
          <w:highlight w:val="none"/>
          <w:lang w:val="zh-CN"/>
        </w:rPr>
        <w:t>对本章所有的响应文件格式 ，供应商可根据自身情况进行补充和修改，但补充和修改不得造成与本格式内容有实质性的违背。</w:t>
      </w:r>
    </w:p>
    <w:p>
      <w:pPr>
        <w:spacing w:before="312" w:beforeLines="100" w:after="312" w:afterLines="100"/>
        <w:jc w:val="center"/>
        <w:rPr>
          <w:rFonts w:ascii="宋体"/>
          <w:b/>
          <w:color w:val="auto"/>
          <w:szCs w:val="21"/>
          <w:highlight w:val="none"/>
        </w:rPr>
      </w:pPr>
      <w:r>
        <w:rPr>
          <w:rFonts w:ascii="宋体"/>
          <w:color w:val="auto"/>
          <w:sz w:val="24"/>
          <w:highlight w:val="none"/>
        </w:rPr>
        <w:br w:type="page"/>
      </w:r>
      <w:r>
        <w:rPr>
          <w:rFonts w:hint="eastAsia" w:ascii="宋体" w:hAnsi="宋体"/>
          <w:b/>
          <w:color w:val="auto"/>
          <w:szCs w:val="21"/>
          <w:highlight w:val="none"/>
        </w:rPr>
        <w:t>评分索引表</w:t>
      </w:r>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Pr>
          <w:p>
            <w:pPr>
              <w:pStyle w:val="39"/>
              <w:shd w:val="clear" w:color="auto" w:fill="FFFFFF"/>
              <w:spacing w:line="265" w:lineRule="atLeast"/>
              <w:ind w:left="420"/>
              <w:jc w:val="center"/>
              <w:rPr>
                <w:rFonts w:ascii="宋体"/>
                <w:b/>
                <w:bCs/>
                <w:color w:val="auto"/>
                <w:kern w:val="2"/>
                <w:sz w:val="21"/>
                <w:szCs w:val="21"/>
                <w:highlight w:val="none"/>
                <w:lang w:eastAsia="zh-CN"/>
              </w:rPr>
            </w:pPr>
            <w:r>
              <w:rPr>
                <w:rFonts w:hint="eastAsia" w:ascii="宋体" w:hAnsi="宋体"/>
                <w:b/>
                <w:color w:val="auto"/>
                <w:kern w:val="2"/>
                <w:sz w:val="21"/>
                <w:szCs w:val="21"/>
                <w:highlight w:val="none"/>
              </w:rPr>
              <w:t>评分项目</w:t>
            </w:r>
          </w:p>
        </w:tc>
        <w:tc>
          <w:tcPr>
            <w:tcW w:w="3570" w:type="dxa"/>
          </w:tcPr>
          <w:p>
            <w:pPr>
              <w:adjustRightInd w:val="0"/>
              <w:snapToGrid w:val="0"/>
              <w:spacing w:after="200" w:line="220" w:lineRule="atLeast"/>
              <w:jc w:val="center"/>
              <w:rPr>
                <w:rFonts w:ascii="宋体"/>
                <w:b/>
                <w:color w:val="auto"/>
                <w:szCs w:val="21"/>
                <w:highlight w:val="none"/>
              </w:rPr>
            </w:pPr>
            <w:r>
              <w:rPr>
                <w:rFonts w:hint="eastAsia" w:ascii="宋体" w:hAnsi="宋体"/>
                <w:b/>
                <w:color w:val="auto"/>
                <w:kern w:val="0"/>
                <w:szCs w:val="21"/>
                <w:highlight w:val="none"/>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670" w:type="dxa"/>
          </w:tcPr>
          <w:p>
            <w:pPr>
              <w:pStyle w:val="39"/>
              <w:shd w:val="clear" w:color="auto" w:fill="FFFFFF"/>
              <w:spacing w:line="265" w:lineRule="atLeast"/>
              <w:ind w:left="420"/>
              <w:jc w:val="both"/>
              <w:rPr>
                <w:rFonts w:ascii="宋体"/>
                <w:b/>
                <w:color w:val="auto"/>
                <w:kern w:val="2"/>
                <w:highlight w:val="none"/>
                <w:lang w:eastAsia="zh-CN"/>
              </w:rPr>
            </w:pPr>
          </w:p>
        </w:tc>
        <w:tc>
          <w:tcPr>
            <w:tcW w:w="3570" w:type="dxa"/>
          </w:tcPr>
          <w:p>
            <w:pPr>
              <w:adjustRightInd w:val="0"/>
              <w:snapToGrid w:val="0"/>
              <w:spacing w:after="200" w:line="220" w:lineRule="atLeast"/>
              <w:rPr>
                <w:rFonts w:asci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40" w:type="dxa"/>
            <w:gridSpan w:val="2"/>
          </w:tcPr>
          <w:p>
            <w:pPr>
              <w:pStyle w:val="39"/>
              <w:shd w:val="clear" w:color="auto" w:fill="FFFFFF"/>
              <w:spacing w:line="265" w:lineRule="atLeast"/>
              <w:ind w:left="420"/>
              <w:jc w:val="both"/>
              <w:rPr>
                <w:rFonts w:ascii="宋体"/>
                <w:color w:val="auto"/>
                <w:kern w:val="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Pr>
          <w:p>
            <w:pPr>
              <w:pStyle w:val="39"/>
              <w:shd w:val="clear" w:color="auto" w:fill="FFFFFF"/>
              <w:spacing w:line="265" w:lineRule="atLeast"/>
              <w:ind w:left="420"/>
              <w:rPr>
                <w:rFonts w:ascii="宋体"/>
                <w:color w:val="auto"/>
                <w:kern w:val="2"/>
                <w:highlight w:val="none"/>
                <w:lang w:eastAsia="zh-CN"/>
              </w:rPr>
            </w:pPr>
          </w:p>
        </w:tc>
        <w:tc>
          <w:tcPr>
            <w:tcW w:w="3570" w:type="dxa"/>
          </w:tcPr>
          <w:p>
            <w:pPr>
              <w:adjustRightInd w:val="0"/>
              <w:snapToGrid w:val="0"/>
              <w:spacing w:after="200" w:line="220" w:lineRule="atLeas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Pr>
          <w:p>
            <w:pPr>
              <w:pStyle w:val="39"/>
              <w:shd w:val="clear" w:color="auto" w:fill="FFFFFF"/>
              <w:spacing w:line="265" w:lineRule="atLeast"/>
              <w:ind w:left="420"/>
              <w:rPr>
                <w:rFonts w:ascii="宋体"/>
                <w:color w:val="auto"/>
                <w:kern w:val="2"/>
                <w:highlight w:val="none"/>
                <w:lang w:eastAsia="zh-CN"/>
              </w:rPr>
            </w:pPr>
          </w:p>
        </w:tc>
        <w:tc>
          <w:tcPr>
            <w:tcW w:w="3570" w:type="dxa"/>
          </w:tcPr>
          <w:p>
            <w:pPr>
              <w:adjustRightInd w:val="0"/>
              <w:snapToGrid w:val="0"/>
              <w:spacing w:after="200" w:line="220" w:lineRule="atLeas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Pr>
          <w:p>
            <w:pPr>
              <w:pStyle w:val="39"/>
              <w:shd w:val="clear" w:color="auto" w:fill="FFFFFF"/>
              <w:spacing w:line="265" w:lineRule="atLeast"/>
              <w:ind w:left="420"/>
              <w:rPr>
                <w:rFonts w:ascii="宋体"/>
                <w:color w:val="auto"/>
                <w:kern w:val="2"/>
                <w:highlight w:val="none"/>
                <w:lang w:eastAsia="zh-CN"/>
              </w:rPr>
            </w:pPr>
          </w:p>
        </w:tc>
        <w:tc>
          <w:tcPr>
            <w:tcW w:w="3570" w:type="dxa"/>
          </w:tcPr>
          <w:p>
            <w:pPr>
              <w:adjustRightInd w:val="0"/>
              <w:snapToGrid w:val="0"/>
              <w:spacing w:after="200" w:line="220" w:lineRule="atLeas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Pr>
          <w:p>
            <w:pPr>
              <w:pStyle w:val="39"/>
              <w:shd w:val="clear" w:color="auto" w:fill="FFFFFF"/>
              <w:spacing w:line="265" w:lineRule="atLeast"/>
              <w:ind w:left="420"/>
              <w:rPr>
                <w:rFonts w:ascii="宋体"/>
                <w:color w:val="auto"/>
                <w:kern w:val="2"/>
                <w:highlight w:val="none"/>
                <w:lang w:eastAsia="zh-CN"/>
              </w:rPr>
            </w:pPr>
          </w:p>
        </w:tc>
        <w:tc>
          <w:tcPr>
            <w:tcW w:w="3570" w:type="dxa"/>
          </w:tcPr>
          <w:p>
            <w:pPr>
              <w:adjustRightInd w:val="0"/>
              <w:snapToGrid w:val="0"/>
              <w:spacing w:after="200" w:line="220" w:lineRule="atLeas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Pr>
          <w:p>
            <w:pPr>
              <w:pStyle w:val="39"/>
              <w:shd w:val="clear" w:color="auto" w:fill="FFFFFF"/>
              <w:spacing w:line="265" w:lineRule="atLeast"/>
              <w:ind w:left="420"/>
              <w:rPr>
                <w:rFonts w:ascii="宋体"/>
                <w:color w:val="auto"/>
                <w:kern w:val="2"/>
                <w:highlight w:val="none"/>
                <w:lang w:eastAsia="zh-CN"/>
              </w:rPr>
            </w:pPr>
          </w:p>
        </w:tc>
        <w:tc>
          <w:tcPr>
            <w:tcW w:w="3570" w:type="dxa"/>
          </w:tcPr>
          <w:p>
            <w:pPr>
              <w:adjustRightInd w:val="0"/>
              <w:snapToGrid w:val="0"/>
              <w:spacing w:after="200" w:line="220" w:lineRule="atLeas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240" w:type="dxa"/>
            <w:gridSpan w:val="2"/>
          </w:tcPr>
          <w:p>
            <w:pPr>
              <w:pStyle w:val="39"/>
              <w:shd w:val="clear" w:color="auto" w:fill="FFFFFF"/>
              <w:spacing w:line="265" w:lineRule="atLeast"/>
              <w:ind w:left="420"/>
              <w:jc w:val="both"/>
              <w:rPr>
                <w:rFonts w:ascii="宋体"/>
                <w:color w:val="auto"/>
                <w:kern w:val="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70" w:type="dxa"/>
          </w:tcPr>
          <w:p>
            <w:pPr>
              <w:pStyle w:val="39"/>
              <w:shd w:val="clear" w:color="auto" w:fill="FFFFFF"/>
              <w:spacing w:line="265" w:lineRule="atLeast"/>
              <w:ind w:left="420"/>
              <w:rPr>
                <w:rFonts w:ascii="宋体"/>
                <w:color w:val="auto"/>
                <w:kern w:val="2"/>
                <w:highlight w:val="none"/>
                <w:lang w:eastAsia="zh-CN"/>
              </w:rPr>
            </w:pPr>
          </w:p>
        </w:tc>
        <w:tc>
          <w:tcPr>
            <w:tcW w:w="3570" w:type="dxa"/>
          </w:tcPr>
          <w:p>
            <w:pPr>
              <w:adjustRightInd w:val="0"/>
              <w:snapToGrid w:val="0"/>
              <w:spacing w:after="200" w:line="220" w:lineRule="atLeas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670" w:type="dxa"/>
          </w:tcPr>
          <w:p>
            <w:pPr>
              <w:pStyle w:val="39"/>
              <w:shd w:val="clear" w:color="auto" w:fill="FFFFFF"/>
              <w:spacing w:line="265" w:lineRule="atLeast"/>
              <w:ind w:left="420"/>
              <w:rPr>
                <w:rFonts w:ascii="宋体"/>
                <w:color w:val="auto"/>
                <w:kern w:val="2"/>
                <w:highlight w:val="none"/>
                <w:lang w:eastAsia="zh-CN"/>
              </w:rPr>
            </w:pPr>
          </w:p>
        </w:tc>
        <w:tc>
          <w:tcPr>
            <w:tcW w:w="3570" w:type="dxa"/>
          </w:tcPr>
          <w:p>
            <w:pPr>
              <w:adjustRightInd w:val="0"/>
              <w:snapToGrid w:val="0"/>
              <w:spacing w:after="200" w:line="220" w:lineRule="atLeas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70" w:type="dxa"/>
          </w:tcPr>
          <w:p>
            <w:pPr>
              <w:pStyle w:val="39"/>
              <w:shd w:val="clear" w:color="auto" w:fill="FFFFFF"/>
              <w:spacing w:line="265" w:lineRule="atLeast"/>
              <w:ind w:left="420"/>
              <w:rPr>
                <w:rFonts w:ascii="宋体"/>
                <w:color w:val="auto"/>
                <w:kern w:val="2"/>
                <w:highlight w:val="none"/>
                <w:lang w:eastAsia="zh-CN"/>
              </w:rPr>
            </w:pPr>
          </w:p>
        </w:tc>
        <w:tc>
          <w:tcPr>
            <w:tcW w:w="3570" w:type="dxa"/>
          </w:tcPr>
          <w:p>
            <w:pPr>
              <w:adjustRightInd w:val="0"/>
              <w:snapToGrid w:val="0"/>
              <w:spacing w:after="200" w:line="220" w:lineRule="atLeas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0" w:type="dxa"/>
          </w:tcPr>
          <w:p>
            <w:pPr>
              <w:pStyle w:val="39"/>
              <w:shd w:val="clear" w:color="auto" w:fill="FFFFFF"/>
              <w:spacing w:line="265" w:lineRule="atLeast"/>
              <w:ind w:left="420"/>
              <w:rPr>
                <w:rFonts w:ascii="宋体"/>
                <w:color w:val="auto"/>
                <w:kern w:val="2"/>
                <w:highlight w:val="none"/>
                <w:lang w:eastAsia="zh-CN"/>
              </w:rPr>
            </w:pPr>
          </w:p>
        </w:tc>
        <w:tc>
          <w:tcPr>
            <w:tcW w:w="3570" w:type="dxa"/>
          </w:tcPr>
          <w:p>
            <w:pPr>
              <w:adjustRightInd w:val="0"/>
              <w:snapToGrid w:val="0"/>
              <w:spacing w:after="200" w:line="220" w:lineRule="atLeas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670" w:type="dxa"/>
          </w:tcPr>
          <w:p>
            <w:pPr>
              <w:pStyle w:val="39"/>
              <w:shd w:val="clear" w:color="auto" w:fill="FFFFFF"/>
              <w:spacing w:line="265" w:lineRule="atLeast"/>
              <w:ind w:left="420"/>
              <w:rPr>
                <w:rFonts w:ascii="宋体"/>
                <w:color w:val="auto"/>
                <w:kern w:val="2"/>
                <w:highlight w:val="none"/>
                <w:lang w:eastAsia="zh-CN"/>
              </w:rPr>
            </w:pPr>
          </w:p>
        </w:tc>
        <w:tc>
          <w:tcPr>
            <w:tcW w:w="3570" w:type="dxa"/>
          </w:tcPr>
          <w:p>
            <w:pPr>
              <w:adjustRightInd w:val="0"/>
              <w:snapToGrid w:val="0"/>
              <w:spacing w:after="200" w:line="220" w:lineRule="atLeas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40" w:type="dxa"/>
            <w:gridSpan w:val="2"/>
          </w:tcPr>
          <w:p>
            <w:pPr>
              <w:pStyle w:val="39"/>
              <w:shd w:val="clear" w:color="auto" w:fill="FFFFFF"/>
              <w:spacing w:line="265" w:lineRule="atLeast"/>
              <w:ind w:left="420"/>
              <w:jc w:val="both"/>
              <w:rPr>
                <w:rFonts w:ascii="宋体"/>
                <w:b/>
                <w:color w:val="auto"/>
                <w:kern w:val="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Pr>
          <w:p>
            <w:pPr>
              <w:pStyle w:val="39"/>
              <w:shd w:val="clear" w:color="auto" w:fill="FFFFFF"/>
              <w:spacing w:line="265" w:lineRule="atLeast"/>
              <w:ind w:left="420"/>
              <w:rPr>
                <w:rFonts w:ascii="宋体"/>
                <w:b/>
                <w:bCs/>
                <w:color w:val="auto"/>
                <w:kern w:val="2"/>
                <w:highlight w:val="none"/>
                <w:lang w:eastAsia="zh-CN"/>
              </w:rPr>
            </w:pPr>
          </w:p>
        </w:tc>
        <w:tc>
          <w:tcPr>
            <w:tcW w:w="3570" w:type="dxa"/>
          </w:tcPr>
          <w:p>
            <w:pPr>
              <w:adjustRightInd w:val="0"/>
              <w:snapToGrid w:val="0"/>
              <w:spacing w:after="200" w:line="220" w:lineRule="atLeas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Pr>
          <w:p>
            <w:pPr>
              <w:pStyle w:val="39"/>
              <w:shd w:val="clear" w:color="auto" w:fill="FFFFFF"/>
              <w:spacing w:line="265" w:lineRule="atLeast"/>
              <w:ind w:left="420"/>
              <w:rPr>
                <w:rFonts w:ascii="宋体"/>
                <w:color w:val="auto"/>
                <w:kern w:val="2"/>
                <w:highlight w:val="none"/>
                <w:lang w:eastAsia="zh-CN"/>
              </w:rPr>
            </w:pPr>
          </w:p>
        </w:tc>
        <w:tc>
          <w:tcPr>
            <w:tcW w:w="3570" w:type="dxa"/>
          </w:tcPr>
          <w:p>
            <w:pPr>
              <w:adjustRightInd w:val="0"/>
              <w:snapToGrid w:val="0"/>
              <w:spacing w:after="200" w:line="220" w:lineRule="atLeas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Pr>
          <w:p>
            <w:pPr>
              <w:pStyle w:val="39"/>
              <w:shd w:val="clear" w:color="auto" w:fill="FFFFFF"/>
              <w:spacing w:line="265" w:lineRule="atLeast"/>
              <w:ind w:left="420"/>
              <w:rPr>
                <w:rFonts w:ascii="宋体"/>
                <w:b/>
                <w:bCs/>
                <w:color w:val="auto"/>
                <w:kern w:val="2"/>
                <w:highlight w:val="none"/>
                <w:lang w:eastAsia="zh-CN"/>
              </w:rPr>
            </w:pPr>
          </w:p>
        </w:tc>
        <w:tc>
          <w:tcPr>
            <w:tcW w:w="3570" w:type="dxa"/>
          </w:tcPr>
          <w:p>
            <w:pPr>
              <w:adjustRightInd w:val="0"/>
              <w:snapToGrid w:val="0"/>
              <w:spacing w:after="200" w:line="220" w:lineRule="atLeas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240" w:type="dxa"/>
            <w:gridSpan w:val="2"/>
          </w:tcPr>
          <w:p>
            <w:pPr>
              <w:pStyle w:val="39"/>
              <w:shd w:val="clear" w:color="auto" w:fill="FFFFFF"/>
              <w:spacing w:line="265" w:lineRule="atLeast"/>
              <w:ind w:left="420"/>
              <w:jc w:val="both"/>
              <w:rPr>
                <w:rFonts w:ascii="宋体"/>
                <w:b/>
                <w:color w:val="auto"/>
                <w:kern w:val="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70" w:type="dxa"/>
          </w:tcPr>
          <w:p>
            <w:pPr>
              <w:pStyle w:val="39"/>
              <w:shd w:val="clear" w:color="auto" w:fill="FFFFFF"/>
              <w:spacing w:line="265" w:lineRule="atLeast"/>
              <w:ind w:left="0" w:firstLine="480" w:firstLineChars="200"/>
              <w:rPr>
                <w:rFonts w:ascii="宋体"/>
                <w:color w:val="auto"/>
                <w:kern w:val="2"/>
                <w:szCs w:val="21"/>
                <w:highlight w:val="none"/>
                <w:lang w:eastAsia="zh-CN"/>
              </w:rPr>
            </w:pPr>
          </w:p>
        </w:tc>
        <w:tc>
          <w:tcPr>
            <w:tcW w:w="3570" w:type="dxa"/>
          </w:tcPr>
          <w:p>
            <w:pPr>
              <w:adjustRightInd w:val="0"/>
              <w:snapToGrid w:val="0"/>
              <w:spacing w:after="200" w:line="220" w:lineRule="atLeas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Pr>
          <w:p>
            <w:pPr>
              <w:pStyle w:val="39"/>
              <w:shd w:val="clear" w:color="auto" w:fill="FFFFFF"/>
              <w:spacing w:line="265" w:lineRule="atLeast"/>
              <w:ind w:left="0" w:firstLine="480" w:firstLineChars="200"/>
              <w:rPr>
                <w:rFonts w:ascii="宋体"/>
                <w:color w:val="auto"/>
                <w:kern w:val="2"/>
                <w:highlight w:val="none"/>
                <w:lang w:eastAsia="zh-CN"/>
              </w:rPr>
            </w:pPr>
          </w:p>
        </w:tc>
        <w:tc>
          <w:tcPr>
            <w:tcW w:w="3570" w:type="dxa"/>
          </w:tcPr>
          <w:p>
            <w:pPr>
              <w:adjustRightInd w:val="0"/>
              <w:snapToGrid w:val="0"/>
              <w:spacing w:after="200" w:line="220" w:lineRule="atLeast"/>
              <w:rPr>
                <w:rFonts w:ascii="宋体"/>
                <w:color w:val="auto"/>
                <w:highlight w:val="none"/>
              </w:rPr>
            </w:pPr>
          </w:p>
        </w:tc>
      </w:tr>
    </w:tbl>
    <w:p>
      <w:pPr>
        <w:rPr>
          <w:rFonts w:ascii="宋体" w:hAnsi="宋体" w:eastAsia="微软雅黑"/>
          <w:color w:val="auto"/>
          <w:highlight w:val="none"/>
        </w:rPr>
      </w:pPr>
    </w:p>
    <w:p>
      <w:pPr>
        <w:spacing w:after="312" w:afterLines="100" w:line="360" w:lineRule="auto"/>
        <w:jc w:val="center"/>
        <w:rPr>
          <w:rFonts w:ascii="宋体" w:hAnsi="宋体"/>
          <w:b/>
          <w:bCs/>
          <w:color w:val="auto"/>
          <w:kern w:val="0"/>
          <w:szCs w:val="21"/>
          <w:highlight w:val="none"/>
        </w:rPr>
      </w:pPr>
      <w:r>
        <w:rPr>
          <w:rFonts w:ascii="宋体"/>
          <w:b/>
          <w:color w:val="auto"/>
          <w:sz w:val="36"/>
          <w:highlight w:val="none"/>
          <w:u w:val="single"/>
        </w:rPr>
        <w:br w:type="page"/>
      </w:r>
      <w:r>
        <w:rPr>
          <w:rFonts w:hint="eastAsia" w:ascii="宋体" w:hAnsi="宋体"/>
          <w:b/>
          <w:bCs/>
          <w:color w:val="auto"/>
          <w:szCs w:val="21"/>
          <w:highlight w:val="none"/>
        </w:rPr>
        <w:t>响应文件主要目录</w:t>
      </w:r>
    </w:p>
    <w:p>
      <w:pPr>
        <w:ind w:firstLine="420" w:firstLineChars="200"/>
        <w:rPr>
          <w:rFonts w:hint="eastAsia" w:ascii="宋体" w:hAnsi="宋体"/>
          <w:color w:val="auto"/>
          <w:szCs w:val="21"/>
          <w:highlight w:val="none"/>
        </w:rPr>
      </w:pPr>
      <w:r>
        <w:rPr>
          <w:rFonts w:hint="eastAsia" w:ascii="宋体" w:hAnsi="宋体"/>
          <w:color w:val="auto"/>
          <w:szCs w:val="21"/>
          <w:highlight w:val="none"/>
        </w:rPr>
        <w:t>一、资格性和符合性检查响应对照表</w:t>
      </w:r>
    </w:p>
    <w:p>
      <w:pPr>
        <w:ind w:firstLine="420" w:firstLineChars="200"/>
        <w:rPr>
          <w:rFonts w:hint="eastAsia" w:ascii="宋体" w:hAnsi="宋体"/>
          <w:color w:val="auto"/>
          <w:szCs w:val="21"/>
          <w:highlight w:val="none"/>
        </w:rPr>
      </w:pPr>
    </w:p>
    <w:p>
      <w:pPr>
        <w:ind w:firstLine="422" w:firstLineChars="200"/>
        <w:rPr>
          <w:rFonts w:hint="eastAsia" w:ascii="宋体" w:hAnsi="宋体"/>
          <w:bCs/>
          <w:color w:val="auto"/>
          <w:szCs w:val="21"/>
          <w:highlight w:val="none"/>
        </w:rPr>
      </w:pPr>
      <w:r>
        <w:rPr>
          <w:rFonts w:hint="eastAsia" w:ascii="宋体" w:hAnsi="宋体"/>
          <w:b/>
          <w:bCs/>
          <w:color w:val="auto"/>
          <w:szCs w:val="21"/>
          <w:highlight w:val="none"/>
        </w:rPr>
        <w:t>二</w:t>
      </w:r>
      <w:r>
        <w:rPr>
          <w:rFonts w:hint="eastAsia" w:ascii="宋体" w:hAnsi="宋体"/>
          <w:color w:val="auto"/>
          <w:szCs w:val="21"/>
          <w:highlight w:val="none"/>
        </w:rPr>
        <w:t>、</w:t>
      </w:r>
      <w:r>
        <w:rPr>
          <w:rFonts w:hint="eastAsia" w:ascii="宋体" w:hAnsi="宋体"/>
          <w:bCs/>
          <w:color w:val="auto"/>
          <w:szCs w:val="21"/>
          <w:highlight w:val="none"/>
        </w:rPr>
        <w:t>资信证明文件</w:t>
      </w:r>
    </w:p>
    <w:p>
      <w:pPr>
        <w:ind w:firstLine="480" w:firstLineChars="200"/>
        <w:rPr>
          <w:rFonts w:hint="eastAsia" w:ascii="宋体" w:hAnsi="宋体"/>
          <w:bCs/>
          <w:color w:val="auto"/>
          <w:sz w:val="24"/>
          <w:szCs w:val="24"/>
          <w:highlight w:val="none"/>
        </w:rPr>
      </w:pPr>
    </w:p>
    <w:p>
      <w:pPr>
        <w:ind w:firstLine="420" w:firstLineChars="200"/>
        <w:rPr>
          <w:rFonts w:hint="eastAsia" w:ascii="宋体" w:hAnsi="宋体"/>
          <w:bCs/>
          <w:color w:val="auto"/>
          <w:szCs w:val="21"/>
          <w:highlight w:val="none"/>
        </w:rPr>
      </w:pPr>
      <w:r>
        <w:rPr>
          <w:rFonts w:hint="eastAsia" w:ascii="宋体" w:hAnsi="宋体"/>
          <w:bCs/>
          <w:color w:val="auto"/>
          <w:szCs w:val="21"/>
          <w:highlight w:val="none"/>
          <w:lang w:eastAsia="zh-CN"/>
        </w:rPr>
        <w:t>三、</w:t>
      </w:r>
      <w:r>
        <w:rPr>
          <w:rFonts w:hint="eastAsia" w:ascii="宋体" w:hAnsi="宋体"/>
          <w:bCs/>
          <w:color w:val="auto"/>
          <w:szCs w:val="21"/>
          <w:highlight w:val="none"/>
        </w:rPr>
        <w:t>磋商响应报价表</w:t>
      </w:r>
    </w:p>
    <w:p>
      <w:pPr>
        <w:ind w:firstLine="420" w:firstLineChars="200"/>
        <w:rPr>
          <w:rFonts w:hint="eastAsia" w:ascii="宋体" w:hAnsi="宋体"/>
          <w:bCs/>
          <w:color w:val="auto"/>
          <w:szCs w:val="21"/>
          <w:highlight w:val="none"/>
        </w:rPr>
      </w:pPr>
    </w:p>
    <w:p>
      <w:pPr>
        <w:ind w:firstLine="420" w:firstLineChars="200"/>
        <w:rPr>
          <w:rFonts w:hint="eastAsia" w:ascii="宋体" w:hAnsi="宋体"/>
          <w:bCs/>
          <w:color w:val="auto"/>
          <w:szCs w:val="21"/>
          <w:highlight w:val="none"/>
        </w:rPr>
      </w:pPr>
      <w:r>
        <w:rPr>
          <w:rFonts w:hint="eastAsia" w:ascii="宋体" w:hAnsi="宋体"/>
          <w:bCs/>
          <w:color w:val="auto"/>
          <w:szCs w:val="21"/>
          <w:highlight w:val="none"/>
          <w:lang w:eastAsia="zh-CN"/>
        </w:rPr>
        <w:t>四、</w:t>
      </w:r>
      <w:r>
        <w:rPr>
          <w:rFonts w:hint="eastAsia" w:ascii="宋体" w:hAnsi="宋体"/>
          <w:bCs/>
          <w:color w:val="auto"/>
          <w:szCs w:val="21"/>
          <w:highlight w:val="none"/>
        </w:rPr>
        <w:t>分项报价表</w:t>
      </w:r>
    </w:p>
    <w:p>
      <w:pPr>
        <w:ind w:firstLine="420" w:firstLineChars="200"/>
        <w:rPr>
          <w:rFonts w:hint="eastAsia" w:ascii="宋体" w:hAnsi="宋体"/>
          <w:bCs/>
          <w:color w:val="auto"/>
          <w:szCs w:val="21"/>
          <w:highlight w:val="none"/>
        </w:rPr>
      </w:pPr>
    </w:p>
    <w:p>
      <w:pPr>
        <w:ind w:firstLine="420" w:firstLineChars="200"/>
        <w:rPr>
          <w:rFonts w:hint="eastAsia" w:ascii="宋体" w:hAnsi="宋体"/>
          <w:bCs/>
          <w:color w:val="auto"/>
          <w:szCs w:val="21"/>
          <w:highlight w:val="none"/>
        </w:rPr>
      </w:pPr>
      <w:r>
        <w:rPr>
          <w:rFonts w:hint="eastAsia" w:ascii="宋体" w:hAnsi="宋体"/>
          <w:bCs/>
          <w:color w:val="auto"/>
          <w:szCs w:val="21"/>
          <w:highlight w:val="none"/>
          <w:lang w:eastAsia="zh-CN"/>
        </w:rPr>
        <w:t>五</w:t>
      </w:r>
      <w:r>
        <w:rPr>
          <w:rFonts w:hint="eastAsia" w:ascii="宋体" w:hAnsi="宋体"/>
          <w:bCs/>
          <w:color w:val="auto"/>
          <w:szCs w:val="21"/>
          <w:highlight w:val="none"/>
        </w:rPr>
        <w:t>、技术参数响应及偏离表</w:t>
      </w:r>
    </w:p>
    <w:p>
      <w:pPr>
        <w:ind w:firstLine="420" w:firstLineChars="200"/>
        <w:rPr>
          <w:rFonts w:hint="eastAsia" w:ascii="宋体" w:hAnsi="宋体"/>
          <w:bCs/>
          <w:color w:val="auto"/>
          <w:szCs w:val="21"/>
          <w:highlight w:val="none"/>
        </w:rPr>
      </w:pPr>
    </w:p>
    <w:p>
      <w:pPr>
        <w:numPr>
          <w:ilvl w:val="0"/>
          <w:numId w:val="6"/>
        </w:numPr>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商务条款响应及偏离表</w:t>
      </w:r>
    </w:p>
    <w:p>
      <w:pPr>
        <w:pStyle w:val="8"/>
        <w:rPr>
          <w:rFonts w:hint="eastAsia"/>
          <w:color w:val="auto"/>
          <w:highlight w:val="none"/>
        </w:rPr>
      </w:pPr>
    </w:p>
    <w:p>
      <w:pPr>
        <w:pStyle w:val="8"/>
        <w:numPr>
          <w:ilvl w:val="0"/>
          <w:numId w:val="6"/>
        </w:numPr>
        <w:ind w:left="0" w:leftChars="0" w:firstLine="420" w:firstLineChars="200"/>
        <w:rPr>
          <w:rFonts w:hint="eastAsia"/>
          <w:color w:val="auto"/>
          <w:highlight w:val="none"/>
          <w:lang w:eastAsia="zh-CN"/>
        </w:rPr>
      </w:pPr>
      <w:r>
        <w:rPr>
          <w:rFonts w:hint="eastAsia"/>
          <w:color w:val="auto"/>
          <w:highlight w:val="none"/>
          <w:lang w:eastAsia="zh-CN"/>
        </w:rPr>
        <w:t>售后服务</w:t>
      </w:r>
    </w:p>
    <w:p>
      <w:pPr>
        <w:pStyle w:val="8"/>
        <w:numPr>
          <w:ilvl w:val="0"/>
          <w:numId w:val="0"/>
        </w:numPr>
        <w:ind w:leftChars="200"/>
        <w:rPr>
          <w:rFonts w:hint="eastAsia"/>
          <w:color w:val="auto"/>
          <w:highlight w:val="none"/>
          <w:lang w:eastAsia="zh-CN"/>
        </w:rPr>
      </w:pPr>
    </w:p>
    <w:p>
      <w:pPr>
        <w:numPr>
          <w:ilvl w:val="0"/>
          <w:numId w:val="0"/>
        </w:numPr>
        <w:ind w:firstLine="420" w:firstLineChars="200"/>
        <w:rPr>
          <w:rFonts w:hint="eastAsia"/>
          <w:color w:val="auto"/>
          <w:highlight w:val="none"/>
          <w:lang w:eastAsia="zh-CN"/>
        </w:rPr>
      </w:pPr>
      <w:r>
        <w:rPr>
          <w:rFonts w:hint="eastAsia" w:ascii="宋体" w:hAnsi="宋体"/>
          <w:bCs/>
          <w:color w:val="auto"/>
          <w:szCs w:val="21"/>
          <w:highlight w:val="none"/>
          <w:lang w:eastAsia="zh-CN"/>
        </w:rPr>
        <w:t>八、综合</w:t>
      </w:r>
      <w:r>
        <w:rPr>
          <w:rFonts w:hint="eastAsia" w:ascii="宋体" w:hAnsi="宋体" w:eastAsia="宋体"/>
          <w:bCs/>
          <w:color w:val="auto"/>
          <w:szCs w:val="21"/>
          <w:highlight w:val="none"/>
          <w:lang w:eastAsia="zh-CN"/>
        </w:rPr>
        <w:t>实力</w:t>
      </w:r>
    </w:p>
    <w:p>
      <w:pPr>
        <w:pStyle w:val="8"/>
        <w:rPr>
          <w:rFonts w:hint="eastAsia"/>
          <w:color w:val="auto"/>
          <w:highlight w:val="none"/>
          <w:lang w:eastAsia="zh-CN"/>
        </w:rPr>
      </w:pPr>
    </w:p>
    <w:p>
      <w:pPr>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lang w:eastAsia="zh-CN"/>
        </w:rPr>
        <w:t>九</w:t>
      </w:r>
      <w:r>
        <w:rPr>
          <w:rFonts w:hint="eastAsia" w:ascii="宋体" w:hAnsi="宋体" w:eastAsia="宋体"/>
          <w:bCs/>
          <w:color w:val="auto"/>
          <w:szCs w:val="21"/>
          <w:highlight w:val="none"/>
          <w:lang w:eastAsia="zh-CN"/>
        </w:rPr>
        <w:t>、业绩</w:t>
      </w:r>
    </w:p>
    <w:p>
      <w:pPr>
        <w:ind w:firstLine="420" w:firstLineChars="200"/>
        <w:rPr>
          <w:rFonts w:hint="eastAsia" w:ascii="宋体" w:hAnsi="宋体" w:eastAsia="宋体"/>
          <w:bCs/>
          <w:color w:val="auto"/>
          <w:szCs w:val="21"/>
          <w:highlight w:val="none"/>
        </w:rPr>
      </w:pPr>
    </w:p>
    <w:p>
      <w:pPr>
        <w:ind w:firstLine="420" w:firstLineChars="200"/>
        <w:rPr>
          <w:rFonts w:hint="default"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w:t>
      </w:r>
    </w:p>
    <w:p>
      <w:pPr>
        <w:ind w:firstLine="420" w:firstLineChars="200"/>
        <w:rPr>
          <w:rFonts w:hint="eastAsia" w:ascii="宋体" w:hAnsi="宋体" w:eastAsia="宋体"/>
          <w:bCs/>
          <w:color w:val="auto"/>
          <w:szCs w:val="21"/>
          <w:highlight w:val="none"/>
        </w:rPr>
      </w:pPr>
    </w:p>
    <w:p>
      <w:pPr>
        <w:ind w:firstLine="420" w:firstLineChars="200"/>
        <w:rPr>
          <w:rFonts w:hint="eastAsia" w:ascii="宋体" w:hAnsi="宋体" w:eastAsia="宋体"/>
          <w:bCs/>
          <w:color w:val="auto"/>
          <w:szCs w:val="21"/>
          <w:highlight w:val="none"/>
        </w:rPr>
      </w:pPr>
    </w:p>
    <w:p>
      <w:pPr>
        <w:ind w:firstLine="420" w:firstLineChars="200"/>
        <w:rPr>
          <w:rFonts w:hint="eastAsia" w:ascii="宋体" w:hAnsi="宋体" w:eastAsia="宋体"/>
          <w:bCs/>
          <w:color w:val="auto"/>
          <w:szCs w:val="21"/>
          <w:highlight w:val="none"/>
        </w:rPr>
      </w:pPr>
    </w:p>
    <w:p>
      <w:pPr>
        <w:jc w:val="left"/>
        <w:rPr>
          <w:rFonts w:hint="eastAsia" w:ascii="宋体" w:hAnsi="宋体"/>
          <w:b/>
          <w:color w:val="auto"/>
          <w:szCs w:val="21"/>
          <w:highlight w:val="none"/>
        </w:rPr>
      </w:pPr>
    </w:p>
    <w:p>
      <w:pPr>
        <w:jc w:val="left"/>
        <w:rPr>
          <w:rFonts w:hint="eastAsia" w:ascii="宋体" w:hAnsi="宋体"/>
          <w:b/>
          <w:color w:val="auto"/>
          <w:szCs w:val="21"/>
          <w:highlight w:val="none"/>
        </w:rPr>
      </w:pPr>
    </w:p>
    <w:p>
      <w:pPr>
        <w:jc w:val="left"/>
        <w:rPr>
          <w:rFonts w:hint="eastAsia" w:ascii="宋体" w:hAnsi="宋体"/>
          <w:b/>
          <w:color w:val="auto"/>
          <w:szCs w:val="21"/>
          <w:highlight w:val="none"/>
        </w:rPr>
      </w:pPr>
    </w:p>
    <w:p>
      <w:pPr>
        <w:jc w:val="left"/>
        <w:rPr>
          <w:rFonts w:hint="eastAsia" w:ascii="宋体" w:hAnsi="宋体"/>
          <w:b/>
          <w:color w:val="auto"/>
          <w:szCs w:val="21"/>
          <w:highlight w:val="none"/>
        </w:rPr>
      </w:pPr>
    </w:p>
    <w:p>
      <w:pPr>
        <w:jc w:val="left"/>
        <w:rPr>
          <w:rFonts w:hint="eastAsia" w:ascii="宋体" w:hAnsi="宋体"/>
          <w:b/>
          <w:color w:val="auto"/>
          <w:szCs w:val="21"/>
          <w:highlight w:val="none"/>
        </w:rPr>
      </w:pPr>
    </w:p>
    <w:p>
      <w:pPr>
        <w:jc w:val="left"/>
        <w:rPr>
          <w:rFonts w:hint="eastAsia" w:ascii="宋体" w:hAnsi="宋体"/>
          <w:b/>
          <w:color w:val="auto"/>
          <w:szCs w:val="21"/>
          <w:highlight w:val="none"/>
        </w:rPr>
      </w:pPr>
    </w:p>
    <w:p>
      <w:pPr>
        <w:jc w:val="left"/>
        <w:rPr>
          <w:rFonts w:hint="eastAsia" w:ascii="宋体" w:hAnsi="宋体"/>
          <w:b/>
          <w:color w:val="auto"/>
          <w:szCs w:val="21"/>
          <w:highlight w:val="none"/>
        </w:rPr>
      </w:pPr>
    </w:p>
    <w:p>
      <w:pPr>
        <w:jc w:val="left"/>
        <w:rPr>
          <w:rFonts w:hint="eastAsia" w:ascii="宋体" w:hAnsi="宋体"/>
          <w:b/>
          <w:color w:val="auto"/>
          <w:szCs w:val="21"/>
          <w:highlight w:val="none"/>
        </w:rPr>
      </w:pPr>
    </w:p>
    <w:p>
      <w:pPr>
        <w:jc w:val="left"/>
        <w:rPr>
          <w:rFonts w:hint="eastAsia" w:ascii="宋体" w:hAnsi="宋体"/>
          <w:b/>
          <w:color w:val="auto"/>
          <w:szCs w:val="21"/>
          <w:highlight w:val="none"/>
        </w:rPr>
      </w:pPr>
    </w:p>
    <w:p>
      <w:pPr>
        <w:jc w:val="left"/>
        <w:rPr>
          <w:rFonts w:hint="eastAsia" w:ascii="宋体" w:hAnsi="宋体"/>
          <w:b/>
          <w:color w:val="auto"/>
          <w:szCs w:val="21"/>
          <w:highlight w:val="none"/>
        </w:rPr>
      </w:pPr>
    </w:p>
    <w:p>
      <w:pPr>
        <w:jc w:val="left"/>
        <w:rPr>
          <w:rFonts w:hint="eastAsia" w:ascii="宋体" w:hAnsi="宋体"/>
          <w:b/>
          <w:color w:val="auto"/>
          <w:szCs w:val="21"/>
          <w:highlight w:val="none"/>
        </w:rPr>
      </w:pPr>
    </w:p>
    <w:p>
      <w:pPr>
        <w:jc w:val="left"/>
        <w:rPr>
          <w:rFonts w:hint="eastAsia" w:ascii="宋体" w:hAnsi="宋体"/>
          <w:b/>
          <w:color w:val="auto"/>
          <w:szCs w:val="21"/>
          <w:highlight w:val="none"/>
        </w:rPr>
      </w:pPr>
    </w:p>
    <w:p>
      <w:pPr>
        <w:jc w:val="left"/>
        <w:rPr>
          <w:rFonts w:hint="eastAsia" w:ascii="宋体" w:hAnsi="宋体"/>
          <w:b/>
          <w:color w:val="auto"/>
          <w:szCs w:val="21"/>
          <w:highlight w:val="none"/>
        </w:rPr>
      </w:pPr>
    </w:p>
    <w:p>
      <w:pPr>
        <w:jc w:val="left"/>
        <w:rPr>
          <w:rFonts w:hint="eastAsia" w:ascii="宋体" w:hAnsi="宋体"/>
          <w:b/>
          <w:color w:val="auto"/>
          <w:szCs w:val="21"/>
          <w:highlight w:val="none"/>
        </w:rPr>
      </w:pPr>
    </w:p>
    <w:p>
      <w:pPr>
        <w:jc w:val="left"/>
        <w:rPr>
          <w:rFonts w:hint="eastAsia" w:ascii="宋体" w:hAnsi="宋体"/>
          <w:b/>
          <w:color w:val="auto"/>
          <w:szCs w:val="21"/>
          <w:highlight w:val="none"/>
        </w:rPr>
      </w:pPr>
    </w:p>
    <w:p>
      <w:pPr>
        <w:jc w:val="left"/>
        <w:rPr>
          <w:rFonts w:hint="eastAsia" w:ascii="宋体" w:hAnsi="宋体"/>
          <w:b/>
          <w:color w:val="auto"/>
          <w:szCs w:val="21"/>
          <w:highlight w:val="none"/>
        </w:rPr>
      </w:pPr>
    </w:p>
    <w:p>
      <w:pPr>
        <w:jc w:val="left"/>
        <w:rPr>
          <w:rFonts w:hint="eastAsia" w:ascii="宋体" w:hAnsi="宋体"/>
          <w:b/>
          <w:color w:val="auto"/>
          <w:szCs w:val="21"/>
          <w:highlight w:val="none"/>
        </w:rPr>
      </w:pPr>
    </w:p>
    <w:p>
      <w:pPr>
        <w:pStyle w:val="8"/>
        <w:rPr>
          <w:rFonts w:hint="eastAsia" w:ascii="宋体" w:hAnsi="宋体"/>
          <w:b/>
          <w:color w:val="auto"/>
          <w:szCs w:val="21"/>
          <w:highlight w:val="none"/>
        </w:rPr>
      </w:pPr>
    </w:p>
    <w:p>
      <w:pPr>
        <w:jc w:val="left"/>
        <w:rPr>
          <w:rFonts w:hint="eastAsia" w:ascii="宋体" w:hAnsi="宋体"/>
          <w:b/>
          <w:color w:val="auto"/>
          <w:szCs w:val="21"/>
          <w:highlight w:val="none"/>
        </w:rPr>
      </w:pPr>
    </w:p>
    <w:p>
      <w:pPr>
        <w:jc w:val="left"/>
        <w:rPr>
          <w:rFonts w:hint="eastAsia" w:ascii="宋体" w:hAnsi="宋体"/>
          <w:b/>
          <w:color w:val="auto"/>
          <w:szCs w:val="21"/>
          <w:highlight w:val="none"/>
        </w:rPr>
      </w:pPr>
    </w:p>
    <w:p>
      <w:pPr>
        <w:spacing w:after="312" w:afterLines="100" w:line="360" w:lineRule="auto"/>
        <w:jc w:val="center"/>
        <w:rPr>
          <w:rFonts w:hint="eastAsia" w:ascii="宋体" w:hAnsi="宋体"/>
          <w:b/>
          <w:color w:val="auto"/>
          <w:szCs w:val="21"/>
          <w:highlight w:val="none"/>
        </w:rPr>
      </w:pPr>
      <w:r>
        <w:rPr>
          <w:rFonts w:hint="eastAsia" w:ascii="宋体" w:hAnsi="宋体"/>
          <w:b/>
          <w:color w:val="auto"/>
          <w:szCs w:val="21"/>
          <w:highlight w:val="none"/>
        </w:rPr>
        <w:t>一、资格性和符合性检查响应对照表</w:t>
      </w:r>
    </w:p>
    <w:p>
      <w:pPr>
        <w:spacing w:line="360" w:lineRule="auto"/>
        <w:ind w:firstLine="309"/>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全称（加盖公章）：</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40" w:lineRule="atLeast"/>
              <w:jc w:val="center"/>
              <w:rPr>
                <w:rFonts w:ascii="宋体" w:hAnsi="宋体"/>
                <w:b/>
                <w:color w:val="auto"/>
                <w:szCs w:val="21"/>
                <w:highlight w:val="none"/>
              </w:rPr>
            </w:pPr>
            <w:r>
              <w:rPr>
                <w:rFonts w:hint="eastAsia" w:ascii="宋体" w:hAnsi="宋体"/>
                <w:b/>
                <w:color w:val="auto"/>
                <w:szCs w:val="21"/>
                <w:highlight w:val="none"/>
              </w:rPr>
              <w:t>序号</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40" w:lineRule="atLeast"/>
              <w:jc w:val="center"/>
              <w:rPr>
                <w:rFonts w:ascii="宋体" w:hAnsi="宋体"/>
                <w:b/>
                <w:color w:val="auto"/>
                <w:szCs w:val="21"/>
                <w:highlight w:val="none"/>
              </w:rPr>
            </w:pPr>
            <w:r>
              <w:rPr>
                <w:rFonts w:hint="eastAsia" w:ascii="宋体" w:hAnsi="宋体"/>
                <w:b/>
                <w:color w:val="auto"/>
                <w:szCs w:val="21"/>
                <w:highlight w:val="none"/>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b/>
                <w:color w:val="auto"/>
                <w:szCs w:val="21"/>
                <w:highlight w:val="none"/>
              </w:rPr>
            </w:pPr>
            <w:r>
              <w:rPr>
                <w:rFonts w:hint="eastAsia" w:ascii="宋体" w:hAnsi="宋体"/>
                <w:b/>
                <w:color w:val="auto"/>
                <w:szCs w:val="21"/>
                <w:highlight w:val="none"/>
              </w:rPr>
              <w:t>是否响应</w:t>
            </w:r>
          </w:p>
          <w:p>
            <w:pPr>
              <w:adjustRightInd w:val="0"/>
              <w:snapToGrid w:val="0"/>
              <w:spacing w:after="200" w:line="240" w:lineRule="atLeast"/>
              <w:jc w:val="center"/>
              <w:rPr>
                <w:rFonts w:ascii="宋体" w:hAnsi="宋体"/>
                <w:b/>
                <w:color w:val="auto"/>
                <w:szCs w:val="21"/>
                <w:highlight w:val="none"/>
              </w:rPr>
            </w:pPr>
            <w:r>
              <w:rPr>
                <w:rFonts w:hint="eastAsia" w:ascii="宋体" w:hAnsi="宋体"/>
                <w:b/>
                <w:color w:val="auto"/>
                <w:szCs w:val="21"/>
                <w:highlight w:val="none"/>
              </w:rPr>
              <w:t>（填是或者否）</w:t>
            </w:r>
          </w:p>
        </w:tc>
        <w:tc>
          <w:tcPr>
            <w:tcW w:w="166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b/>
                <w:color w:val="auto"/>
                <w:szCs w:val="21"/>
                <w:highlight w:val="none"/>
              </w:rPr>
            </w:pPr>
            <w:r>
              <w:rPr>
                <w:rFonts w:hint="eastAsia" w:ascii="宋体" w:hAnsi="宋体"/>
                <w:b/>
                <w:color w:val="auto"/>
                <w:szCs w:val="21"/>
                <w:highlight w:val="none"/>
              </w:rPr>
              <w:t>响应文件中的</w:t>
            </w:r>
          </w:p>
          <w:p>
            <w:pPr>
              <w:adjustRightInd w:val="0"/>
              <w:snapToGrid w:val="0"/>
              <w:spacing w:after="200" w:line="240" w:lineRule="atLeast"/>
              <w:jc w:val="center"/>
              <w:rPr>
                <w:rFonts w:ascii="宋体" w:hAnsi="宋体"/>
                <w:b/>
                <w:color w:val="auto"/>
                <w:szCs w:val="21"/>
                <w:highlight w:val="none"/>
              </w:rPr>
            </w:pPr>
            <w:r>
              <w:rPr>
                <w:rFonts w:hint="eastAsia" w:ascii="宋体" w:hAnsi="宋体"/>
                <w:b/>
                <w:color w:val="auto"/>
                <w:szCs w:val="21"/>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b/>
                <w:i/>
                <w:color w:val="auto"/>
                <w:szCs w:val="21"/>
                <w:highlight w:val="none"/>
                <w:u w:val="single"/>
              </w:rPr>
            </w:pPr>
            <w:r>
              <w:rPr>
                <w:rFonts w:hint="eastAsia" w:ascii="宋体" w:hAnsi="宋体"/>
                <w:b/>
                <w:i/>
                <w:color w:val="auto"/>
                <w:szCs w:val="21"/>
                <w:highlight w:val="none"/>
                <w:u w:val="single"/>
              </w:rPr>
              <w:t>1</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480" w:lineRule="exact"/>
              <w:rPr>
                <w:rFonts w:ascii="宋体" w:hAnsi="宋体"/>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b/>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i/>
                <w:color w:val="auto"/>
                <w:szCs w:val="21"/>
                <w:highlight w:val="none"/>
                <w:u w:val="single"/>
              </w:rPr>
            </w:pPr>
            <w:r>
              <w:rPr>
                <w:rFonts w:hint="eastAsia" w:ascii="宋体" w:hAnsi="宋体"/>
                <w:i/>
                <w:color w:val="auto"/>
                <w:szCs w:val="21"/>
                <w:highlight w:val="none"/>
                <w:u w:val="single"/>
              </w:rPr>
              <w:t>2</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480" w:lineRule="exact"/>
              <w:rPr>
                <w:rFonts w:ascii="宋体" w:hAnsi="宋体"/>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i/>
                <w:color w:val="auto"/>
                <w:szCs w:val="21"/>
                <w:highlight w:val="none"/>
                <w:u w:val="single"/>
              </w:rPr>
            </w:pPr>
            <w:r>
              <w:rPr>
                <w:rFonts w:hint="eastAsia" w:ascii="宋体" w:hAnsi="宋体"/>
                <w:i/>
                <w:color w:val="auto"/>
                <w:szCs w:val="21"/>
                <w:highlight w:val="none"/>
                <w:u w:val="single"/>
              </w:rPr>
              <w:t>3</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480" w:lineRule="exact"/>
              <w:rPr>
                <w:rFonts w:ascii="宋体" w:hAnsi="宋体"/>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i/>
                <w:color w:val="auto"/>
                <w:szCs w:val="21"/>
                <w:highlight w:val="none"/>
                <w:u w:val="single"/>
              </w:rPr>
            </w:pPr>
            <w:r>
              <w:rPr>
                <w:rFonts w:hint="eastAsia" w:ascii="宋体" w:hAnsi="宋体"/>
                <w:i/>
                <w:color w:val="auto"/>
                <w:szCs w:val="21"/>
                <w:highlight w:val="none"/>
                <w:u w:val="single"/>
              </w:rPr>
              <w:t>4</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360" w:lineRule="auto"/>
              <w:rPr>
                <w:rFonts w:ascii="宋体" w:hAnsi="宋体"/>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i/>
                <w:color w:val="auto"/>
                <w:szCs w:val="21"/>
                <w:highlight w:val="none"/>
                <w:u w:val="single"/>
              </w:rPr>
            </w:pPr>
            <w:r>
              <w:rPr>
                <w:rFonts w:hint="eastAsia" w:ascii="宋体" w:hAnsi="宋体"/>
                <w:i/>
                <w:color w:val="auto"/>
                <w:szCs w:val="21"/>
                <w:highlight w:val="none"/>
                <w:u w:val="single"/>
              </w:rPr>
              <w:t>5</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590" w:lineRule="atLeast"/>
              <w:rPr>
                <w:rFonts w:ascii="宋体" w:hAnsi="宋体"/>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color w:val="auto"/>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i/>
                <w:color w:val="auto"/>
                <w:szCs w:val="21"/>
                <w:highlight w:val="none"/>
                <w:u w:val="single"/>
              </w:rPr>
            </w:pPr>
            <w:r>
              <w:rPr>
                <w:rFonts w:hint="eastAsia" w:ascii="宋体" w:hAnsi="宋体"/>
                <w:i/>
                <w:color w:val="auto"/>
                <w:szCs w:val="21"/>
                <w:highlight w:val="none"/>
                <w:u w:val="single"/>
              </w:rPr>
              <w:t>6</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590" w:lineRule="atLeast"/>
              <w:rPr>
                <w:rFonts w:ascii="宋体" w:hAnsi="宋体"/>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color w:val="auto"/>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i/>
                <w:color w:val="auto"/>
                <w:szCs w:val="21"/>
                <w:highlight w:val="none"/>
                <w:u w:val="single"/>
              </w:rPr>
            </w:pPr>
            <w:r>
              <w:rPr>
                <w:rFonts w:hint="eastAsia" w:ascii="宋体" w:hAnsi="宋体"/>
                <w:i/>
                <w:color w:val="auto"/>
                <w:szCs w:val="21"/>
                <w:highlight w:val="none"/>
                <w:u w:val="single"/>
              </w:rPr>
              <w:t>7</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590" w:lineRule="atLeast"/>
              <w:rPr>
                <w:rFonts w:ascii="宋体" w:hAnsi="宋体"/>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color w:val="auto"/>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hint="eastAsia" w:ascii="宋体" w:hAnsi="宋体" w:eastAsia="宋体"/>
                <w:i/>
                <w:color w:val="auto"/>
                <w:szCs w:val="21"/>
                <w:highlight w:val="none"/>
                <w:u w:val="single"/>
                <w:lang w:val="en-US" w:eastAsia="zh-CN"/>
              </w:rPr>
            </w:pPr>
            <w:r>
              <w:rPr>
                <w:rFonts w:hint="eastAsia" w:ascii="宋体" w:hAnsi="宋体"/>
                <w:i/>
                <w:color w:val="auto"/>
                <w:szCs w:val="21"/>
                <w:highlight w:val="none"/>
                <w:u w:val="single"/>
                <w:lang w:val="en-US" w:eastAsia="zh-CN"/>
              </w:rPr>
              <w:t>8</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590" w:lineRule="atLeast"/>
              <w:rPr>
                <w:rFonts w:hint="eastAsia" w:ascii="宋体" w:hAnsi="宋体"/>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color w:val="auto"/>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hint="eastAsia" w:ascii="宋体" w:hAnsi="宋体" w:eastAsia="宋体"/>
                <w:i/>
                <w:color w:val="auto"/>
                <w:szCs w:val="21"/>
                <w:highlight w:val="none"/>
                <w:u w:val="single"/>
                <w:lang w:val="en-US" w:eastAsia="zh-CN"/>
              </w:rPr>
            </w:pPr>
            <w:r>
              <w:rPr>
                <w:rFonts w:hint="eastAsia" w:ascii="宋体" w:hAnsi="宋体"/>
                <w:i/>
                <w:color w:val="auto"/>
                <w:szCs w:val="21"/>
                <w:highlight w:val="none"/>
                <w:u w:val="single"/>
                <w:lang w:val="en-US" w:eastAsia="zh-CN"/>
              </w:rPr>
              <w:t>9</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590" w:lineRule="atLeast"/>
              <w:rPr>
                <w:rFonts w:hint="eastAsia" w:ascii="宋体" w:hAnsi="宋体"/>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color w:val="auto"/>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hint="default" w:ascii="宋体" w:hAnsi="宋体" w:eastAsia="宋体"/>
                <w:i/>
                <w:color w:val="auto"/>
                <w:szCs w:val="21"/>
                <w:highlight w:val="none"/>
                <w:u w:val="single"/>
                <w:lang w:val="en-US" w:eastAsia="zh-CN"/>
              </w:rPr>
            </w:pPr>
            <w:r>
              <w:rPr>
                <w:rFonts w:hint="eastAsia" w:ascii="宋体" w:hAnsi="宋体"/>
                <w:i/>
                <w:color w:val="auto"/>
                <w:szCs w:val="21"/>
                <w:highlight w:val="none"/>
                <w:u w:val="single"/>
                <w:lang w:val="en-US" w:eastAsia="zh-CN"/>
              </w:rPr>
              <w:t>10</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590" w:lineRule="atLeast"/>
              <w:rPr>
                <w:rFonts w:hint="eastAsia" w:ascii="宋体" w:hAnsi="宋体"/>
                <w:i/>
                <w:iCs/>
                <w:color w:val="auto"/>
                <w:szCs w:val="21"/>
                <w:highlight w:val="none"/>
                <w:u w:val="single"/>
              </w:rPr>
            </w:pPr>
            <w:r>
              <w:rPr>
                <w:rFonts w:hint="eastAsia" w:ascii="宋体" w:hAnsi="宋体"/>
                <w:i/>
                <w:iCs/>
                <w:color w:val="auto"/>
                <w:szCs w:val="21"/>
                <w:highlight w:val="none"/>
                <w:u w:val="single"/>
              </w:rPr>
              <w:t>磋商文件中的其他实质性要求</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color w:val="auto"/>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color w:val="auto"/>
                <w:highlight w:val="none"/>
              </w:rPr>
            </w:pPr>
          </w:p>
        </w:tc>
      </w:tr>
    </w:tbl>
    <w:p>
      <w:pPr>
        <w:spacing w:before="50" w:after="50"/>
        <w:rPr>
          <w:rFonts w:hint="eastAsia" w:ascii="黑体" w:eastAsia="黑体"/>
          <w:color w:val="auto"/>
          <w:szCs w:val="21"/>
          <w:highlight w:val="none"/>
        </w:rPr>
      </w:pPr>
      <w:r>
        <w:rPr>
          <w:rFonts w:hint="eastAsia" w:ascii="黑体" w:eastAsia="黑体"/>
          <w:color w:val="auto"/>
          <w:sz w:val="32"/>
          <w:szCs w:val="32"/>
          <w:highlight w:val="none"/>
        </w:rPr>
        <w:t xml:space="preserve">             </w:t>
      </w:r>
      <w:r>
        <w:rPr>
          <w:rFonts w:hint="eastAsia" w:ascii="黑体" w:eastAsia="黑体"/>
          <w:color w:val="auto"/>
          <w:szCs w:val="21"/>
          <w:highlight w:val="none"/>
        </w:rPr>
        <w:t xml:space="preserve"> </w:t>
      </w:r>
    </w:p>
    <w:p>
      <w:pPr>
        <w:spacing w:before="50" w:after="50"/>
        <w:rPr>
          <w:rFonts w:hint="eastAsia" w:ascii="黑体" w:hAnsi="Tahoma" w:eastAsia="黑体"/>
          <w:color w:val="auto"/>
          <w:kern w:val="0"/>
          <w:sz w:val="22"/>
          <w:szCs w:val="21"/>
          <w:highlight w:val="none"/>
        </w:rPr>
      </w:pPr>
    </w:p>
    <w:p>
      <w:pPr>
        <w:spacing w:before="50" w:after="50"/>
        <w:rPr>
          <w:rFonts w:hint="eastAsia" w:ascii="黑体" w:eastAsia="黑体"/>
          <w:color w:val="auto"/>
          <w:szCs w:val="21"/>
          <w:highlight w:val="none"/>
        </w:rPr>
      </w:pPr>
    </w:p>
    <w:p>
      <w:pPr>
        <w:spacing w:before="50" w:after="50"/>
        <w:rPr>
          <w:rFonts w:hint="eastAsia" w:ascii="黑体" w:eastAsia="黑体"/>
          <w:color w:val="auto"/>
          <w:szCs w:val="21"/>
          <w:highlight w:val="none"/>
        </w:rPr>
      </w:pPr>
    </w:p>
    <w:p>
      <w:pPr>
        <w:pStyle w:val="2"/>
        <w:ind w:left="0" w:leftChars="0" w:firstLine="0" w:firstLineChars="0"/>
        <w:rPr>
          <w:rFonts w:hint="eastAsia" w:ascii="黑体" w:eastAsia="黑体"/>
          <w:color w:val="auto"/>
          <w:szCs w:val="21"/>
          <w:highlight w:val="none"/>
        </w:rPr>
      </w:pPr>
    </w:p>
    <w:p>
      <w:pPr>
        <w:numPr>
          <w:ilvl w:val="0"/>
          <w:numId w:val="7"/>
        </w:numPr>
        <w:spacing w:after="240" w:line="360" w:lineRule="auto"/>
        <w:ind w:left="3363"/>
        <w:rPr>
          <w:rFonts w:hint="eastAsia" w:ascii="宋体" w:hAnsi="宋体"/>
          <w:b/>
          <w:bCs/>
          <w:color w:val="auto"/>
          <w:szCs w:val="21"/>
          <w:highlight w:val="none"/>
        </w:rPr>
      </w:pPr>
      <w:r>
        <w:rPr>
          <w:rFonts w:hint="eastAsia" w:ascii="宋体" w:hAnsi="宋体"/>
          <w:b/>
          <w:bCs/>
          <w:color w:val="auto"/>
          <w:szCs w:val="21"/>
          <w:highlight w:val="none"/>
        </w:rPr>
        <w:t>资信证明文件要求</w:t>
      </w:r>
    </w:p>
    <w:p>
      <w:pPr>
        <w:spacing w:line="440" w:lineRule="exact"/>
        <w:ind w:firstLine="396" w:firstLineChars="200"/>
        <w:rPr>
          <w:rFonts w:ascii="宋体" w:hAnsi="宋体"/>
          <w:color w:val="auto"/>
          <w:szCs w:val="21"/>
          <w:highlight w:val="none"/>
        </w:rPr>
      </w:pPr>
      <w:r>
        <w:rPr>
          <w:rFonts w:hint="eastAsia" w:ascii="宋体" w:hAnsi="宋体" w:cs="Arial"/>
          <w:color w:val="auto"/>
          <w:spacing w:val="-6"/>
          <w:szCs w:val="21"/>
          <w:highlight w:val="none"/>
        </w:rPr>
        <w:t>（一）</w:t>
      </w:r>
      <w:r>
        <w:rPr>
          <w:rFonts w:hint="eastAsia"/>
          <w:color w:val="auto"/>
          <w:sz w:val="21"/>
          <w:szCs w:val="21"/>
          <w:highlight w:val="none"/>
        </w:rPr>
        <w:t>满足《中华人民共和国政府采购法》第二十二条规定，</w:t>
      </w:r>
      <w:r>
        <w:rPr>
          <w:rFonts w:hint="eastAsia"/>
          <w:color w:val="auto"/>
          <w:spacing w:val="-6"/>
          <w:sz w:val="21"/>
          <w:szCs w:val="21"/>
          <w:highlight w:val="none"/>
        </w:rPr>
        <w:t>并提供下列材料</w:t>
      </w:r>
    </w:p>
    <w:p>
      <w:pPr>
        <w:spacing w:line="440" w:lineRule="exact"/>
        <w:ind w:firstLine="480" w:firstLineChars="200"/>
        <w:outlineLvl w:val="0"/>
        <w:rPr>
          <w:rFonts w:ascii="宋体" w:hAnsi="宋体"/>
          <w:i/>
          <w:iCs w:val="0"/>
          <w:color w:val="auto"/>
          <w:sz w:val="24"/>
          <w:szCs w:val="24"/>
          <w:highlight w:val="none"/>
          <w:u w:val="single"/>
        </w:rPr>
      </w:pPr>
      <w:r>
        <w:rPr>
          <w:rFonts w:hint="eastAsia" w:ascii="宋体" w:hAnsi="宋体"/>
          <w:i/>
          <w:iCs w:val="0"/>
          <w:color w:val="auto"/>
          <w:sz w:val="24"/>
          <w:szCs w:val="24"/>
          <w:highlight w:val="none"/>
          <w:u w:val="single"/>
        </w:rPr>
        <w:t>1 磋商响应函</w:t>
      </w:r>
      <w:r>
        <w:rPr>
          <w:rFonts w:hint="eastAsia" w:ascii="宋体" w:hAnsi="宋体"/>
          <w:b/>
          <w:i/>
          <w:iCs w:val="0"/>
          <w:color w:val="auto"/>
          <w:sz w:val="24"/>
          <w:szCs w:val="24"/>
          <w:highlight w:val="none"/>
          <w:u w:val="single"/>
        </w:rPr>
        <w:t>(原件)</w:t>
      </w:r>
    </w:p>
    <w:p>
      <w:pPr>
        <w:spacing w:line="440" w:lineRule="exact"/>
        <w:ind w:firstLine="480" w:firstLineChars="200"/>
        <w:outlineLvl w:val="0"/>
        <w:rPr>
          <w:rFonts w:ascii="宋体" w:hAnsi="宋体"/>
          <w:i/>
          <w:iCs w:val="0"/>
          <w:color w:val="auto"/>
          <w:sz w:val="24"/>
          <w:szCs w:val="24"/>
          <w:highlight w:val="none"/>
          <w:u w:val="single"/>
        </w:rPr>
      </w:pPr>
      <w:r>
        <w:rPr>
          <w:rFonts w:hint="eastAsia" w:ascii="宋体" w:hAnsi="宋体"/>
          <w:i/>
          <w:iCs w:val="0"/>
          <w:color w:val="auto"/>
          <w:sz w:val="24"/>
          <w:szCs w:val="24"/>
          <w:highlight w:val="none"/>
          <w:u w:val="single"/>
        </w:rPr>
        <w:t>2 资格声明</w:t>
      </w:r>
      <w:r>
        <w:rPr>
          <w:rFonts w:hint="eastAsia" w:ascii="宋体" w:hAnsi="宋体"/>
          <w:b/>
          <w:i/>
          <w:iCs w:val="0"/>
          <w:color w:val="auto"/>
          <w:sz w:val="24"/>
          <w:szCs w:val="24"/>
          <w:highlight w:val="none"/>
          <w:u w:val="single"/>
        </w:rPr>
        <w:t>(原件)</w:t>
      </w:r>
    </w:p>
    <w:p>
      <w:pPr>
        <w:spacing w:line="440" w:lineRule="exact"/>
        <w:ind w:firstLine="480" w:firstLineChars="200"/>
        <w:outlineLvl w:val="0"/>
        <w:rPr>
          <w:rFonts w:ascii="宋体" w:hAnsi="宋体"/>
          <w:i/>
          <w:iCs w:val="0"/>
          <w:color w:val="auto"/>
          <w:sz w:val="24"/>
          <w:szCs w:val="24"/>
          <w:highlight w:val="none"/>
          <w:u w:val="single"/>
        </w:rPr>
      </w:pPr>
      <w:r>
        <w:rPr>
          <w:rFonts w:hint="eastAsia" w:ascii="宋体" w:hAnsi="宋体"/>
          <w:i/>
          <w:iCs w:val="0"/>
          <w:color w:val="auto"/>
          <w:sz w:val="24"/>
          <w:szCs w:val="24"/>
          <w:highlight w:val="none"/>
          <w:u w:val="single"/>
        </w:rPr>
        <w:t>3 若法定代表人参加磋商的，须提供本人身份证复印件</w:t>
      </w:r>
      <w:r>
        <w:rPr>
          <w:rFonts w:hint="eastAsia" w:ascii="宋体" w:hAnsi="宋体"/>
          <w:b/>
          <w:i/>
          <w:iCs w:val="0"/>
          <w:color w:val="auto"/>
          <w:sz w:val="24"/>
          <w:szCs w:val="24"/>
          <w:highlight w:val="none"/>
          <w:u w:val="single"/>
        </w:rPr>
        <w:t>(原件备查)</w:t>
      </w:r>
      <w:r>
        <w:rPr>
          <w:rFonts w:hint="eastAsia" w:ascii="宋体" w:hAnsi="宋体"/>
          <w:i/>
          <w:iCs w:val="0"/>
          <w:color w:val="auto"/>
          <w:sz w:val="24"/>
          <w:szCs w:val="24"/>
          <w:highlight w:val="none"/>
          <w:u w:val="single"/>
        </w:rPr>
        <w:t>；若授权代表参加磋商的，须提供《法人授权书》原件和授权代表身份证复印件</w:t>
      </w:r>
      <w:r>
        <w:rPr>
          <w:rFonts w:hint="eastAsia" w:ascii="宋体" w:hAnsi="宋体"/>
          <w:b/>
          <w:i/>
          <w:iCs w:val="0"/>
          <w:color w:val="auto"/>
          <w:sz w:val="24"/>
          <w:szCs w:val="24"/>
          <w:highlight w:val="none"/>
          <w:u w:val="single"/>
        </w:rPr>
        <w:t>(原件备查)</w:t>
      </w:r>
      <w:r>
        <w:rPr>
          <w:rFonts w:hint="eastAsia" w:ascii="宋体" w:hAnsi="宋体"/>
          <w:i/>
          <w:iCs w:val="0"/>
          <w:color w:val="auto"/>
          <w:sz w:val="24"/>
          <w:szCs w:val="24"/>
          <w:highlight w:val="none"/>
          <w:u w:val="single"/>
        </w:rPr>
        <w:t>；</w:t>
      </w:r>
    </w:p>
    <w:p>
      <w:pPr>
        <w:spacing w:line="440" w:lineRule="exact"/>
        <w:ind w:firstLine="480" w:firstLineChars="200"/>
        <w:outlineLvl w:val="0"/>
        <w:rPr>
          <w:rFonts w:ascii="宋体" w:hAnsi="宋体"/>
          <w:b/>
          <w:i/>
          <w:iCs w:val="0"/>
          <w:color w:val="auto"/>
          <w:sz w:val="24"/>
          <w:szCs w:val="24"/>
          <w:highlight w:val="none"/>
          <w:u w:val="single"/>
        </w:rPr>
      </w:pPr>
      <w:r>
        <w:rPr>
          <w:rFonts w:hint="eastAsia" w:ascii="宋体" w:hAnsi="宋体"/>
          <w:i/>
          <w:iCs w:val="0"/>
          <w:color w:val="auto"/>
          <w:sz w:val="24"/>
          <w:szCs w:val="24"/>
          <w:highlight w:val="none"/>
          <w:u w:val="single"/>
        </w:rPr>
        <w:t>4 营业执照副本</w:t>
      </w:r>
      <w:r>
        <w:rPr>
          <w:rFonts w:hint="eastAsia" w:ascii="宋体" w:hAnsi="宋体"/>
          <w:b/>
          <w:i/>
          <w:iCs w:val="0"/>
          <w:color w:val="auto"/>
          <w:sz w:val="24"/>
          <w:szCs w:val="24"/>
          <w:highlight w:val="none"/>
          <w:u w:val="single"/>
        </w:rPr>
        <w:t>(复印件加盖供应商公章)</w:t>
      </w:r>
    </w:p>
    <w:p>
      <w:pPr>
        <w:spacing w:line="360" w:lineRule="auto"/>
        <w:ind w:firstLine="480" w:firstLineChars="200"/>
        <w:rPr>
          <w:rFonts w:ascii="宋体" w:cs="宋体"/>
          <w:i/>
          <w:iCs w:val="0"/>
          <w:color w:val="auto"/>
          <w:sz w:val="24"/>
          <w:szCs w:val="24"/>
          <w:highlight w:val="none"/>
          <w:u w:val="single"/>
        </w:rPr>
      </w:pPr>
      <w:r>
        <w:rPr>
          <w:rFonts w:hint="eastAsia" w:ascii="宋体" w:hAnsi="宋体"/>
          <w:i/>
          <w:iCs w:val="0"/>
          <w:color w:val="auto"/>
          <w:sz w:val="24"/>
          <w:szCs w:val="24"/>
          <w:highlight w:val="none"/>
          <w:u w:val="single"/>
        </w:rPr>
        <w:t xml:space="preserve">5 </w:t>
      </w:r>
      <w:r>
        <w:rPr>
          <w:rFonts w:hint="eastAsia" w:ascii="宋体" w:hAnsi="宋体" w:cs="宋体"/>
          <w:i/>
          <w:iCs w:val="0"/>
          <w:color w:val="auto"/>
          <w:sz w:val="24"/>
          <w:szCs w:val="24"/>
          <w:highlight w:val="none"/>
          <w:u w:val="single"/>
        </w:rPr>
        <w:t>依法缴纳职工社会保障资金的证明材料</w:t>
      </w:r>
      <w:r>
        <w:rPr>
          <w:rFonts w:ascii="宋体" w:hAnsi="宋体" w:cs="宋体"/>
          <w:b/>
          <w:i/>
          <w:iCs w:val="0"/>
          <w:color w:val="auto"/>
          <w:sz w:val="24"/>
          <w:szCs w:val="24"/>
          <w:highlight w:val="none"/>
          <w:u w:val="single"/>
        </w:rPr>
        <w:t>(</w:t>
      </w:r>
      <w:r>
        <w:rPr>
          <w:rFonts w:hint="eastAsia" w:ascii="宋体" w:hAnsi="宋体" w:cs="宋体"/>
          <w:b/>
          <w:i/>
          <w:iCs w:val="0"/>
          <w:color w:val="auto"/>
          <w:sz w:val="24"/>
          <w:szCs w:val="24"/>
          <w:highlight w:val="none"/>
          <w:u w:val="single"/>
        </w:rPr>
        <w:t>复印件加盖供应商公章</w:t>
      </w:r>
      <w:r>
        <w:rPr>
          <w:rFonts w:ascii="宋体" w:hAnsi="宋体" w:cs="宋体"/>
          <w:b/>
          <w:i/>
          <w:iCs w:val="0"/>
          <w:color w:val="auto"/>
          <w:sz w:val="24"/>
          <w:szCs w:val="24"/>
          <w:highlight w:val="none"/>
          <w:u w:val="single"/>
        </w:rPr>
        <w:t>)(</w:t>
      </w:r>
      <w:r>
        <w:rPr>
          <w:rFonts w:hint="eastAsia" w:ascii="宋体" w:hAnsi="宋体" w:cs="宋体"/>
          <w:b/>
          <w:i/>
          <w:iCs w:val="0"/>
          <w:color w:val="auto"/>
          <w:sz w:val="24"/>
          <w:szCs w:val="24"/>
          <w:highlight w:val="none"/>
          <w:u w:val="single"/>
        </w:rPr>
        <w:t>税务、银行或社会保险基金管理部门出具的</w:t>
      </w:r>
      <w:r>
        <w:rPr>
          <w:rFonts w:hint="default" w:ascii="宋体" w:hAnsi="宋体" w:cs="宋体"/>
          <w:b/>
          <w:i/>
          <w:iCs w:val="0"/>
          <w:color w:val="auto"/>
          <w:sz w:val="24"/>
          <w:szCs w:val="24"/>
          <w:highlight w:val="none"/>
          <w:u w:val="single"/>
          <w:lang w:val="en-US"/>
        </w:rPr>
        <w:t>2021年</w:t>
      </w:r>
      <w:r>
        <w:rPr>
          <w:rFonts w:hint="eastAsia" w:ascii="宋体" w:hAnsi="宋体" w:cs="宋体"/>
          <w:b/>
          <w:i/>
          <w:iCs w:val="0"/>
          <w:color w:val="auto"/>
          <w:sz w:val="24"/>
          <w:szCs w:val="24"/>
          <w:highlight w:val="none"/>
          <w:u w:val="single"/>
          <w:lang w:val="en-US" w:eastAsia="zh-CN"/>
        </w:rPr>
        <w:t>8</w:t>
      </w:r>
      <w:r>
        <w:rPr>
          <w:rFonts w:hint="default" w:ascii="宋体" w:hAnsi="宋体" w:cs="宋体"/>
          <w:b/>
          <w:i/>
          <w:iCs w:val="0"/>
          <w:color w:val="auto"/>
          <w:sz w:val="24"/>
          <w:szCs w:val="24"/>
          <w:highlight w:val="none"/>
          <w:u w:val="single"/>
          <w:lang w:val="en-US"/>
        </w:rPr>
        <w:t>月至2021年</w:t>
      </w:r>
      <w:r>
        <w:rPr>
          <w:rFonts w:hint="eastAsia" w:ascii="宋体" w:hAnsi="宋体" w:cs="宋体"/>
          <w:b/>
          <w:i/>
          <w:iCs w:val="0"/>
          <w:color w:val="auto"/>
          <w:sz w:val="24"/>
          <w:szCs w:val="24"/>
          <w:highlight w:val="none"/>
          <w:u w:val="single"/>
          <w:lang w:val="en-US" w:eastAsia="zh-CN"/>
        </w:rPr>
        <w:t>10</w:t>
      </w:r>
      <w:r>
        <w:rPr>
          <w:rFonts w:hint="default" w:ascii="宋体" w:hAnsi="宋体" w:cs="宋体"/>
          <w:b/>
          <w:i/>
          <w:iCs w:val="0"/>
          <w:color w:val="auto"/>
          <w:sz w:val="24"/>
          <w:szCs w:val="24"/>
          <w:highlight w:val="none"/>
          <w:u w:val="single"/>
          <w:lang w:val="en-US"/>
        </w:rPr>
        <w:t>月份</w:t>
      </w:r>
      <w:r>
        <w:rPr>
          <w:rFonts w:hint="eastAsia" w:ascii="宋体" w:hAnsi="宋体" w:cs="宋体"/>
          <w:b/>
          <w:i/>
          <w:iCs w:val="0"/>
          <w:color w:val="auto"/>
          <w:sz w:val="24"/>
          <w:szCs w:val="24"/>
          <w:highlight w:val="none"/>
          <w:u w:val="single"/>
        </w:rPr>
        <w:t>三个月内任意一份缴纳职工社会保障资金的缴款凭证或缴款证明</w:t>
      </w:r>
      <w:r>
        <w:rPr>
          <w:rFonts w:ascii="宋体" w:hAnsi="宋体" w:cs="宋体"/>
          <w:b/>
          <w:i/>
          <w:iCs w:val="0"/>
          <w:color w:val="auto"/>
          <w:sz w:val="24"/>
          <w:szCs w:val="24"/>
          <w:highlight w:val="none"/>
          <w:u w:val="single"/>
        </w:rPr>
        <w:t>)</w:t>
      </w:r>
    </w:p>
    <w:p>
      <w:pPr>
        <w:spacing w:line="440" w:lineRule="exact"/>
        <w:ind w:firstLine="480" w:firstLineChars="200"/>
        <w:outlineLvl w:val="0"/>
        <w:rPr>
          <w:rFonts w:ascii="宋体" w:hAnsi="宋体"/>
          <w:i/>
          <w:iCs w:val="0"/>
          <w:color w:val="auto"/>
          <w:sz w:val="24"/>
          <w:szCs w:val="24"/>
          <w:highlight w:val="none"/>
          <w:u w:val="single"/>
        </w:rPr>
      </w:pPr>
      <w:r>
        <w:rPr>
          <w:rFonts w:hint="eastAsia" w:ascii="宋体" w:hAnsi="宋体"/>
          <w:i/>
          <w:iCs w:val="0"/>
          <w:color w:val="auto"/>
          <w:sz w:val="24"/>
          <w:szCs w:val="24"/>
          <w:highlight w:val="none"/>
          <w:u w:val="single"/>
        </w:rPr>
        <w:t>6 供应商</w:t>
      </w:r>
      <w:r>
        <w:rPr>
          <w:rFonts w:hint="default" w:ascii="宋体" w:hAnsi="宋体" w:cs="宋体"/>
          <w:bCs/>
          <w:i/>
          <w:iCs w:val="0"/>
          <w:color w:val="auto"/>
          <w:sz w:val="24"/>
          <w:szCs w:val="24"/>
          <w:highlight w:val="none"/>
          <w:u w:val="single"/>
          <w:lang w:val="en-US"/>
        </w:rPr>
        <w:t>2021年</w:t>
      </w:r>
      <w:r>
        <w:rPr>
          <w:rFonts w:hint="eastAsia" w:ascii="宋体" w:hAnsi="宋体" w:cs="宋体"/>
          <w:bCs/>
          <w:i/>
          <w:iCs w:val="0"/>
          <w:color w:val="auto"/>
          <w:sz w:val="24"/>
          <w:szCs w:val="24"/>
          <w:highlight w:val="none"/>
          <w:u w:val="single"/>
          <w:lang w:val="en-US" w:eastAsia="zh-CN"/>
        </w:rPr>
        <w:t>8</w:t>
      </w:r>
      <w:r>
        <w:rPr>
          <w:rFonts w:hint="default" w:ascii="宋体" w:hAnsi="宋体" w:cs="宋体"/>
          <w:bCs/>
          <w:i/>
          <w:iCs w:val="0"/>
          <w:color w:val="auto"/>
          <w:sz w:val="24"/>
          <w:szCs w:val="24"/>
          <w:highlight w:val="none"/>
          <w:u w:val="single"/>
          <w:lang w:val="en-US"/>
        </w:rPr>
        <w:t>月至2021年</w:t>
      </w:r>
      <w:r>
        <w:rPr>
          <w:rFonts w:hint="eastAsia" w:ascii="宋体" w:hAnsi="宋体" w:cs="宋体"/>
          <w:bCs/>
          <w:i/>
          <w:iCs w:val="0"/>
          <w:color w:val="auto"/>
          <w:sz w:val="24"/>
          <w:szCs w:val="24"/>
          <w:highlight w:val="none"/>
          <w:u w:val="single"/>
          <w:lang w:val="en-US" w:eastAsia="zh-CN"/>
        </w:rPr>
        <w:t>10</w:t>
      </w:r>
      <w:r>
        <w:rPr>
          <w:rFonts w:hint="default" w:ascii="宋体" w:hAnsi="宋体" w:cs="宋体"/>
          <w:bCs/>
          <w:i/>
          <w:iCs w:val="0"/>
          <w:color w:val="auto"/>
          <w:sz w:val="24"/>
          <w:szCs w:val="24"/>
          <w:highlight w:val="none"/>
          <w:u w:val="single"/>
          <w:lang w:val="en-US"/>
        </w:rPr>
        <w:t>月份</w:t>
      </w:r>
      <w:r>
        <w:rPr>
          <w:rFonts w:hint="eastAsia" w:ascii="宋体" w:hAnsi="宋体"/>
          <w:i/>
          <w:iCs w:val="0"/>
          <w:color w:val="auto"/>
          <w:sz w:val="24"/>
          <w:szCs w:val="24"/>
          <w:highlight w:val="none"/>
          <w:u w:val="single"/>
        </w:rPr>
        <w:t>三个月内任意一份依法纳税的缴款凭证</w:t>
      </w:r>
      <w:r>
        <w:rPr>
          <w:rFonts w:hint="eastAsia" w:ascii="宋体" w:hAnsi="宋体"/>
          <w:b/>
          <w:i/>
          <w:iCs w:val="0"/>
          <w:color w:val="auto"/>
          <w:sz w:val="24"/>
          <w:szCs w:val="24"/>
          <w:highlight w:val="none"/>
          <w:u w:val="single"/>
        </w:rPr>
        <w:t>(复印件加盖供应商公章)</w:t>
      </w:r>
    </w:p>
    <w:p>
      <w:pPr>
        <w:spacing w:line="440" w:lineRule="exact"/>
        <w:ind w:firstLine="480" w:firstLineChars="200"/>
        <w:outlineLvl w:val="0"/>
        <w:rPr>
          <w:rFonts w:ascii="宋体" w:hAnsi="宋体"/>
          <w:b/>
          <w:i/>
          <w:iCs w:val="0"/>
          <w:color w:val="auto"/>
          <w:sz w:val="24"/>
          <w:szCs w:val="24"/>
          <w:highlight w:val="none"/>
          <w:u w:val="single"/>
        </w:rPr>
      </w:pPr>
      <w:r>
        <w:rPr>
          <w:rFonts w:hint="eastAsia" w:ascii="宋体" w:hAnsi="宋体"/>
          <w:i/>
          <w:iCs w:val="0"/>
          <w:color w:val="auto"/>
          <w:sz w:val="24"/>
          <w:szCs w:val="24"/>
          <w:highlight w:val="none"/>
          <w:u w:val="single"/>
        </w:rPr>
        <w:t>7 与第（6）条相对应的纳税申报表或经会计师事务所审计的</w:t>
      </w:r>
      <w:r>
        <w:rPr>
          <w:rFonts w:hint="eastAsia" w:ascii="宋体" w:hAnsi="宋体"/>
          <w:i/>
          <w:iCs w:val="0"/>
          <w:color w:val="auto"/>
          <w:sz w:val="24"/>
          <w:szCs w:val="24"/>
          <w:highlight w:val="none"/>
          <w:u w:val="single"/>
          <w:lang w:val="en-US" w:eastAsia="zh-CN"/>
        </w:rPr>
        <w:t>2020</w:t>
      </w:r>
      <w:r>
        <w:rPr>
          <w:rFonts w:hint="eastAsia" w:ascii="宋体" w:hAnsi="宋体"/>
          <w:i/>
          <w:iCs w:val="0"/>
          <w:color w:val="auto"/>
          <w:sz w:val="24"/>
          <w:szCs w:val="24"/>
          <w:highlight w:val="none"/>
          <w:u w:val="single"/>
        </w:rPr>
        <w:t xml:space="preserve">年度财务报告 </w:t>
      </w:r>
      <w:r>
        <w:rPr>
          <w:rFonts w:hint="eastAsia" w:ascii="宋体" w:hAnsi="宋体"/>
          <w:b/>
          <w:i/>
          <w:iCs w:val="0"/>
          <w:color w:val="auto"/>
          <w:sz w:val="24"/>
          <w:szCs w:val="24"/>
          <w:highlight w:val="none"/>
          <w:u w:val="single"/>
        </w:rPr>
        <w:t>(复印件加盖供应商公章)</w:t>
      </w:r>
    </w:p>
    <w:p>
      <w:pPr>
        <w:spacing w:line="440" w:lineRule="exact"/>
        <w:ind w:firstLine="480" w:firstLineChars="200"/>
        <w:outlineLvl w:val="0"/>
        <w:rPr>
          <w:rFonts w:hint="eastAsia" w:ascii="宋体" w:hAnsi="宋体"/>
          <w:b/>
          <w:i/>
          <w:iCs w:val="0"/>
          <w:color w:val="auto"/>
          <w:sz w:val="24"/>
          <w:szCs w:val="24"/>
          <w:highlight w:val="none"/>
          <w:u w:val="single"/>
        </w:rPr>
      </w:pPr>
      <w:r>
        <w:rPr>
          <w:rFonts w:hint="eastAsia" w:ascii="宋体" w:hAnsi="宋体"/>
          <w:i/>
          <w:iCs w:val="0"/>
          <w:color w:val="auto"/>
          <w:sz w:val="24"/>
          <w:szCs w:val="24"/>
          <w:highlight w:val="none"/>
          <w:u w:val="single"/>
        </w:rPr>
        <w:t>8 供应商参加本次政府采购活动前3年内在经营活动中没有重大违法记录的书面声明</w:t>
      </w:r>
      <w:r>
        <w:rPr>
          <w:rFonts w:hint="eastAsia" w:ascii="宋体" w:hAnsi="宋体"/>
          <w:b/>
          <w:i/>
          <w:iCs w:val="0"/>
          <w:color w:val="auto"/>
          <w:sz w:val="24"/>
          <w:szCs w:val="24"/>
          <w:highlight w:val="none"/>
          <w:u w:val="single"/>
        </w:rPr>
        <w:t>（原件）</w:t>
      </w:r>
    </w:p>
    <w:p>
      <w:pPr>
        <w:spacing w:line="440" w:lineRule="exact"/>
        <w:ind w:firstLine="480" w:firstLineChars="200"/>
        <w:outlineLvl w:val="0"/>
        <w:rPr>
          <w:rFonts w:hint="eastAsia" w:ascii="宋体" w:hAnsi="宋体" w:eastAsia="宋体"/>
          <w:b/>
          <w:bCs/>
          <w:i/>
          <w:iCs w:val="0"/>
          <w:color w:val="auto"/>
          <w:sz w:val="24"/>
          <w:szCs w:val="24"/>
          <w:highlight w:val="none"/>
          <w:u w:val="single"/>
        </w:rPr>
      </w:pPr>
      <w:r>
        <w:rPr>
          <w:rFonts w:hint="eastAsia" w:ascii="宋体" w:hAnsi="宋体" w:eastAsia="宋体"/>
          <w:i/>
          <w:iCs w:val="0"/>
          <w:color w:val="auto"/>
          <w:sz w:val="24"/>
          <w:szCs w:val="24"/>
          <w:highlight w:val="none"/>
          <w:u w:val="single"/>
        </w:rPr>
        <w:t>9、未被“信用中国”网站（www.creditchina.gov.cn）、“中国政府采购网"(www.ccgp.gov.cn)列入失信被执行人、重大税收违法案件当事人名单、政府采购严重违法失信行为记录名单</w:t>
      </w:r>
      <w:r>
        <w:rPr>
          <w:rFonts w:hint="eastAsia" w:ascii="宋体" w:hAnsi="宋体" w:eastAsia="宋体"/>
          <w:b/>
          <w:bCs/>
          <w:i/>
          <w:iCs w:val="0"/>
          <w:color w:val="auto"/>
          <w:sz w:val="24"/>
          <w:szCs w:val="24"/>
          <w:highlight w:val="none"/>
          <w:u w:val="single"/>
        </w:rPr>
        <w:t>（提供网页截图，加盖公章）</w:t>
      </w:r>
    </w:p>
    <w:p>
      <w:pPr>
        <w:spacing w:line="440" w:lineRule="exact"/>
        <w:ind w:firstLine="480" w:firstLineChars="200"/>
        <w:outlineLvl w:val="0"/>
        <w:rPr>
          <w:rFonts w:hint="eastAsia" w:ascii="宋体" w:hAnsi="宋体" w:eastAsia="宋体"/>
          <w:i/>
          <w:iCs w:val="0"/>
          <w:color w:val="auto"/>
          <w:sz w:val="24"/>
          <w:szCs w:val="24"/>
          <w:highlight w:val="none"/>
          <w:u w:val="single"/>
          <w:lang w:val="en-US" w:eastAsia="zh-CN"/>
        </w:rPr>
      </w:pPr>
      <w:r>
        <w:rPr>
          <w:rFonts w:hint="default" w:ascii="宋体" w:hAnsi="宋体" w:eastAsia="宋体"/>
          <w:i/>
          <w:iCs w:val="0"/>
          <w:color w:val="auto"/>
          <w:sz w:val="24"/>
          <w:szCs w:val="24"/>
          <w:highlight w:val="none"/>
          <w:u w:val="single"/>
          <w:lang w:val="en-US" w:eastAsia="zh-CN"/>
        </w:rPr>
        <w:t>10</w:t>
      </w:r>
      <w:r>
        <w:rPr>
          <w:rFonts w:hint="eastAsia" w:ascii="宋体" w:hAnsi="宋体" w:eastAsia="宋体"/>
          <w:i/>
          <w:iCs w:val="0"/>
          <w:color w:val="auto"/>
          <w:sz w:val="24"/>
          <w:szCs w:val="24"/>
          <w:highlight w:val="none"/>
          <w:u w:val="single"/>
          <w:lang w:val="en-US" w:eastAsia="zh-CN"/>
        </w:rPr>
        <w:t>、</w:t>
      </w:r>
      <w:r>
        <w:rPr>
          <w:rFonts w:hint="eastAsia" w:ascii="宋体" w:hAnsi="宋体" w:eastAsia="宋体"/>
          <w:i/>
          <w:iCs w:val="0"/>
          <w:color w:val="auto"/>
          <w:sz w:val="24"/>
          <w:szCs w:val="24"/>
          <w:highlight w:val="none"/>
          <w:u w:val="single"/>
        </w:rPr>
        <w:t>供应商信用承诺书</w:t>
      </w:r>
      <w:r>
        <w:rPr>
          <w:rFonts w:hint="eastAsia" w:ascii="宋体" w:hAnsi="宋体"/>
          <w:b/>
          <w:i/>
          <w:iCs w:val="0"/>
          <w:color w:val="auto"/>
          <w:sz w:val="24"/>
          <w:szCs w:val="24"/>
          <w:highlight w:val="none"/>
          <w:u w:val="single"/>
        </w:rPr>
        <w:t>(原件)</w:t>
      </w:r>
    </w:p>
    <w:p>
      <w:pPr>
        <w:numPr>
          <w:ilvl w:val="0"/>
          <w:numId w:val="3"/>
        </w:numPr>
        <w:snapToGrid w:val="0"/>
        <w:spacing w:line="440" w:lineRule="exact"/>
        <w:ind w:firstLine="315" w:firstLineChars="150"/>
        <w:rPr>
          <w:rFonts w:ascii="宋体" w:hAnsi="宋体"/>
          <w:b/>
          <w:bCs/>
          <w:color w:val="auto"/>
          <w:szCs w:val="21"/>
          <w:highlight w:val="none"/>
        </w:rPr>
      </w:pPr>
      <w:r>
        <w:rPr>
          <w:rFonts w:hint="eastAsia" w:ascii="宋体" w:hAnsi="宋体" w:cs="Arial"/>
          <w:color w:val="auto"/>
          <w:szCs w:val="21"/>
          <w:highlight w:val="none"/>
        </w:rPr>
        <w:t>其他资格条件</w:t>
      </w:r>
      <w:r>
        <w:rPr>
          <w:rFonts w:hint="eastAsia" w:ascii="宋体" w:hAnsi="宋体"/>
          <w:color w:val="auto"/>
          <w:szCs w:val="21"/>
          <w:highlight w:val="none"/>
        </w:rPr>
        <w:t>：无</w:t>
      </w:r>
    </w:p>
    <w:p>
      <w:pPr>
        <w:snapToGrid w:val="0"/>
        <w:spacing w:line="440" w:lineRule="exact"/>
        <w:ind w:firstLine="315" w:firstLineChars="150"/>
        <w:rPr>
          <w:rFonts w:ascii="宋体" w:hAnsi="宋体" w:cs="Arial"/>
          <w:color w:val="auto"/>
          <w:szCs w:val="21"/>
          <w:highlight w:val="none"/>
        </w:rPr>
      </w:pPr>
      <w:r>
        <w:rPr>
          <w:rFonts w:hint="eastAsia" w:ascii="宋体" w:hAnsi="宋体" w:cs="Arial"/>
          <w:color w:val="auto"/>
          <w:szCs w:val="21"/>
          <w:highlight w:val="none"/>
        </w:rPr>
        <w:t>（三）拒绝下述供应商参加本次采购活动：</w:t>
      </w:r>
    </w:p>
    <w:p>
      <w:pPr>
        <w:spacing w:line="44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（1）供应商单位负责人为同一人或者存在直接控股、管理关系的不同供应商，不得参加同一合同项下的政府采购活动。</w:t>
      </w:r>
    </w:p>
    <w:p>
      <w:pPr>
        <w:spacing w:line="44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（2）凡为采购项目提供整体设计、规范编制或者项目管理、监理、检测等服务的供应商，不得再参加该项目的其他采购活动。</w:t>
      </w:r>
    </w:p>
    <w:p>
      <w:pPr>
        <w:spacing w:line="44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（3）供应商被“信用中国”网站（www.creditchina.gov.cn）、“中国政府采购网"(www.ccgp.gov.cn)列入失信被执行人、重大税收违法案件当事人名单、政府采购严重违法失信行为记录名单。</w:t>
      </w:r>
    </w:p>
    <w:p>
      <w:pPr>
        <w:spacing w:line="44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eastAsia="zh-CN"/>
        </w:rPr>
        <w:t>四</w:t>
      </w:r>
      <w:r>
        <w:rPr>
          <w:rFonts w:hint="eastAsia" w:ascii="宋体" w:hAnsi="宋体"/>
          <w:color w:val="auto"/>
          <w:szCs w:val="21"/>
          <w:highlight w:val="none"/>
        </w:rPr>
        <w:t>）本项目</w:t>
      </w:r>
      <w:r>
        <w:rPr>
          <w:rFonts w:hint="eastAsia" w:ascii="宋体" w:hAnsi="宋体"/>
          <w:color w:val="auto"/>
          <w:szCs w:val="21"/>
          <w:highlight w:val="none"/>
          <w:u w:val="single"/>
        </w:rPr>
        <w:t>不接受</w:t>
      </w:r>
      <w:r>
        <w:rPr>
          <w:rFonts w:hint="eastAsia" w:ascii="宋体" w:hAnsi="宋体"/>
          <w:color w:val="auto"/>
          <w:szCs w:val="21"/>
          <w:highlight w:val="none"/>
        </w:rPr>
        <w:t>联合体参加磋商；</w:t>
      </w:r>
    </w:p>
    <w:p>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eastAsia="zh-CN"/>
        </w:rPr>
        <w:t>五</w:t>
      </w:r>
      <w:r>
        <w:rPr>
          <w:rFonts w:hint="eastAsia" w:ascii="宋体" w:hAnsi="宋体"/>
          <w:color w:val="auto"/>
          <w:szCs w:val="21"/>
          <w:highlight w:val="none"/>
        </w:rPr>
        <w:t>）本项目</w:t>
      </w:r>
      <w:r>
        <w:rPr>
          <w:rFonts w:hint="eastAsia" w:ascii="宋体" w:hAnsi="宋体"/>
          <w:color w:val="auto"/>
          <w:szCs w:val="21"/>
          <w:highlight w:val="none"/>
          <w:u w:val="single"/>
        </w:rPr>
        <w:t>不接受</w:t>
      </w:r>
      <w:r>
        <w:rPr>
          <w:rFonts w:hint="eastAsia" w:ascii="宋体" w:hAnsi="宋体"/>
          <w:color w:val="auto"/>
          <w:szCs w:val="21"/>
          <w:highlight w:val="none"/>
        </w:rPr>
        <w:t>进口产品参加磋商；</w:t>
      </w:r>
    </w:p>
    <w:p>
      <w:pPr>
        <w:pStyle w:val="2"/>
        <w:rPr>
          <w:color w:val="auto"/>
          <w:highlight w:val="none"/>
        </w:rPr>
      </w:pPr>
    </w:p>
    <w:p>
      <w:pPr>
        <w:pStyle w:val="37"/>
        <w:spacing w:before="0" w:after="0"/>
        <w:ind w:firstLine="0"/>
        <w:jc w:val="both"/>
        <w:rPr>
          <w:rFonts w:hint="eastAsia" w:ascii="宋体" w:hAnsi="宋体"/>
          <w:b/>
          <w:color w:val="auto"/>
          <w:szCs w:val="21"/>
          <w:highlight w:val="none"/>
        </w:rPr>
      </w:pPr>
    </w:p>
    <w:p>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投标函格式</w:t>
      </w:r>
    </w:p>
    <w:p>
      <w:pPr>
        <w:pStyle w:val="37"/>
        <w:spacing w:before="0" w:after="0"/>
        <w:ind w:firstLine="0"/>
        <w:rPr>
          <w:rFonts w:hint="eastAsia" w:ascii="宋体" w:hAnsi="宋体" w:eastAsia="宋体"/>
          <w:color w:val="auto"/>
          <w:kern w:val="2"/>
          <w:sz w:val="21"/>
          <w:szCs w:val="21"/>
          <w:highlight w:val="none"/>
          <w:lang w:eastAsia="zh-CN"/>
        </w:rPr>
      </w:pPr>
      <w:r>
        <w:rPr>
          <w:rFonts w:hint="eastAsia" w:ascii="宋体" w:hAnsi="宋体"/>
          <w:color w:val="auto"/>
          <w:kern w:val="2"/>
          <w:sz w:val="21"/>
          <w:szCs w:val="21"/>
          <w:highlight w:val="none"/>
        </w:rPr>
        <w:t>致：</w:t>
      </w:r>
      <w:r>
        <w:rPr>
          <w:rFonts w:hint="eastAsia" w:ascii="宋体" w:hAnsi="宋体"/>
          <w:color w:val="auto"/>
          <w:kern w:val="2"/>
          <w:sz w:val="21"/>
          <w:szCs w:val="21"/>
          <w:highlight w:val="none"/>
          <w:lang w:eastAsia="zh-CN"/>
        </w:rPr>
        <w:t>扬州筑苑工程招标咨询有限公司</w:t>
      </w:r>
    </w:p>
    <w:p>
      <w:pPr>
        <w:pStyle w:val="37"/>
        <w:spacing w:before="0" w:after="0"/>
        <w:ind w:firstLine="420" w:firstLineChars="200"/>
        <w:rPr>
          <w:rFonts w:hint="eastAsia" w:ascii="宋体" w:hAnsi="宋体"/>
          <w:color w:val="auto"/>
          <w:kern w:val="2"/>
          <w:sz w:val="21"/>
          <w:szCs w:val="21"/>
          <w:highlight w:val="none"/>
        </w:rPr>
      </w:pPr>
      <w:r>
        <w:rPr>
          <w:rFonts w:hint="eastAsia" w:ascii="宋体" w:hAnsi="宋体"/>
          <w:color w:val="auto"/>
          <w:kern w:val="2"/>
          <w:sz w:val="21"/>
          <w:szCs w:val="21"/>
          <w:highlight w:val="none"/>
        </w:rPr>
        <w:t>根据贵方的</w:t>
      </w:r>
      <w:r>
        <w:rPr>
          <w:rFonts w:hint="default" w:ascii="宋体" w:hAnsi="宋体"/>
          <w:color w:val="auto"/>
          <w:kern w:val="2"/>
          <w:sz w:val="21"/>
          <w:szCs w:val="21"/>
          <w:highlight w:val="none"/>
          <w:lang w:val="en-US"/>
        </w:rPr>
        <w:t>YZZYGZXCG007</w:t>
      </w:r>
      <w:r>
        <w:rPr>
          <w:rFonts w:hint="eastAsia" w:ascii="宋体" w:hAnsi="宋体"/>
          <w:color w:val="auto"/>
          <w:kern w:val="2"/>
          <w:sz w:val="21"/>
          <w:szCs w:val="21"/>
          <w:highlight w:val="none"/>
        </w:rPr>
        <w:t>号</w:t>
      </w:r>
      <w:r>
        <w:rPr>
          <w:rFonts w:hint="eastAsia" w:ascii="宋体" w:hAnsi="宋体"/>
          <w:color w:val="auto"/>
          <w:kern w:val="2"/>
          <w:sz w:val="21"/>
          <w:szCs w:val="21"/>
          <w:highlight w:val="none"/>
          <w:lang w:eastAsia="zh-CN"/>
        </w:rPr>
        <w:t>磋商文件</w:t>
      </w:r>
      <w:r>
        <w:rPr>
          <w:rFonts w:hint="eastAsia" w:ascii="宋体" w:hAnsi="宋体"/>
          <w:color w:val="auto"/>
          <w:kern w:val="2"/>
          <w:sz w:val="21"/>
          <w:szCs w:val="21"/>
          <w:highlight w:val="none"/>
        </w:rPr>
        <w:t>，正式授权下述签字人_________________(姓名)代表我方______________（</w:t>
      </w:r>
      <w:r>
        <w:rPr>
          <w:rFonts w:hint="eastAsia" w:ascii="宋体" w:hAnsi="宋体"/>
          <w:color w:val="auto"/>
          <w:kern w:val="2"/>
          <w:sz w:val="21"/>
          <w:szCs w:val="21"/>
          <w:highlight w:val="none"/>
          <w:lang w:eastAsia="zh-CN"/>
        </w:rPr>
        <w:t>供应商</w:t>
      </w:r>
      <w:r>
        <w:rPr>
          <w:rFonts w:hint="eastAsia" w:ascii="宋体" w:hAnsi="宋体"/>
          <w:color w:val="auto"/>
          <w:kern w:val="2"/>
          <w:sz w:val="21"/>
          <w:szCs w:val="21"/>
          <w:highlight w:val="none"/>
        </w:rPr>
        <w:t>的名称），全权处理本次项目投标的有关事宜。</w:t>
      </w:r>
    </w:p>
    <w:p>
      <w:pPr>
        <w:pStyle w:val="37"/>
        <w:spacing w:before="0" w:after="0"/>
        <w:ind w:firstLine="420" w:firstLineChars="200"/>
        <w:rPr>
          <w:rFonts w:hint="eastAsia" w:ascii="宋体" w:hAnsi="宋体"/>
          <w:color w:val="auto"/>
          <w:kern w:val="2"/>
          <w:sz w:val="21"/>
          <w:szCs w:val="21"/>
          <w:highlight w:val="none"/>
        </w:rPr>
      </w:pPr>
      <w:r>
        <w:rPr>
          <w:rFonts w:hint="eastAsia" w:ascii="宋体" w:hAnsi="宋体"/>
          <w:color w:val="auto"/>
          <w:kern w:val="2"/>
          <w:sz w:val="21"/>
          <w:szCs w:val="21"/>
          <w:highlight w:val="none"/>
        </w:rPr>
        <w:t>据此函，__________签字人兹宣布同意如下：</w:t>
      </w:r>
    </w:p>
    <w:p>
      <w:pPr>
        <w:pStyle w:val="37"/>
        <w:spacing w:before="0" w:after="0"/>
        <w:ind w:firstLine="420" w:firstLineChars="200"/>
        <w:rPr>
          <w:rFonts w:hint="eastAsia" w:ascii="宋体" w:hAnsi="宋体"/>
          <w:color w:val="auto"/>
          <w:kern w:val="2"/>
          <w:sz w:val="21"/>
          <w:szCs w:val="21"/>
          <w:highlight w:val="none"/>
        </w:rPr>
      </w:pPr>
      <w:r>
        <w:rPr>
          <w:rFonts w:hint="eastAsia" w:ascii="宋体" w:hAnsi="宋体"/>
          <w:color w:val="auto"/>
          <w:kern w:val="2"/>
          <w:sz w:val="21"/>
          <w:szCs w:val="21"/>
          <w:highlight w:val="none"/>
        </w:rPr>
        <w:t>1.按磋商文件规定的各项要求，向买方提供所需服务与服务。</w:t>
      </w:r>
    </w:p>
    <w:p>
      <w:pPr>
        <w:pStyle w:val="40"/>
        <w:spacing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2.我们已详细审核全部磋商文件及其有效补充文件，我们知道必须放弃提出含糊不清或误解问题的权利。</w:t>
      </w:r>
    </w:p>
    <w:p>
      <w:pPr>
        <w:pStyle w:val="40"/>
        <w:spacing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3.我们同意从规定的响应文件接收截止时间起遵循本响应文件，并在规定的磋商有效期期满之前均具有约束力。</w:t>
      </w:r>
    </w:p>
    <w:p>
      <w:pPr>
        <w:pStyle w:val="40"/>
        <w:spacing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4.如果在响应文件接收截止时间后规定的磋商有效期内撤回响应文件或成交后拒绝签订合同，我们将承担相应的后果。</w:t>
      </w:r>
    </w:p>
    <w:p>
      <w:pPr>
        <w:pStyle w:val="40"/>
        <w:spacing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5.同意向贵方提供贵方可能另外要求的与磋商采购有关的任何证据或资料，并保证我方已提供和将要提供的文件是真实的、准确的。</w:t>
      </w:r>
    </w:p>
    <w:p>
      <w:pPr>
        <w:pStyle w:val="40"/>
        <w:spacing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6.一旦我方成交，我方将根据磋商文件的规定，严格履行合同的责任和义务，并保证在磋商文件规定的时间完成项目，交付买方验收、使用。</w:t>
      </w:r>
    </w:p>
    <w:p>
      <w:pPr>
        <w:pStyle w:val="40"/>
        <w:spacing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7.遵守磋商文件中要求的收费项目和标准。</w:t>
      </w:r>
    </w:p>
    <w:p>
      <w:pPr>
        <w:pStyle w:val="40"/>
        <w:spacing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8.与本磋商采购有关的正式通讯地址为：</w:t>
      </w:r>
    </w:p>
    <w:p>
      <w:pPr>
        <w:pStyle w:val="37"/>
        <w:spacing w:before="0" w:after="0"/>
        <w:ind w:firstLine="478" w:firstLineChars="228"/>
        <w:rPr>
          <w:rFonts w:hint="eastAsia" w:ascii="宋体" w:hAnsi="宋体"/>
          <w:color w:val="auto"/>
          <w:kern w:val="2"/>
          <w:sz w:val="21"/>
          <w:szCs w:val="21"/>
          <w:highlight w:val="none"/>
        </w:rPr>
      </w:pPr>
    </w:p>
    <w:p>
      <w:pPr>
        <w:pStyle w:val="37"/>
        <w:spacing w:before="0" w:after="0"/>
        <w:ind w:firstLine="478" w:firstLineChars="228"/>
        <w:rPr>
          <w:rFonts w:hint="eastAsia" w:ascii="宋体" w:hAnsi="宋体"/>
          <w:color w:val="auto"/>
          <w:kern w:val="2"/>
          <w:sz w:val="21"/>
          <w:szCs w:val="21"/>
          <w:highlight w:val="none"/>
        </w:rPr>
      </w:pPr>
      <w:r>
        <w:rPr>
          <w:rFonts w:hint="eastAsia" w:ascii="宋体" w:hAnsi="宋体"/>
          <w:color w:val="auto"/>
          <w:kern w:val="2"/>
          <w:sz w:val="21"/>
          <w:szCs w:val="21"/>
          <w:highlight w:val="none"/>
        </w:rPr>
        <w:t>地 址：                                   邮 编：</w:t>
      </w:r>
    </w:p>
    <w:p>
      <w:pPr>
        <w:pStyle w:val="37"/>
        <w:spacing w:before="0" w:after="0"/>
        <w:ind w:firstLine="478" w:firstLineChars="228"/>
        <w:rPr>
          <w:rFonts w:hint="eastAsia" w:ascii="宋体" w:hAnsi="宋体"/>
          <w:color w:val="auto"/>
          <w:kern w:val="2"/>
          <w:sz w:val="21"/>
          <w:szCs w:val="21"/>
          <w:highlight w:val="none"/>
        </w:rPr>
      </w:pPr>
      <w:r>
        <w:rPr>
          <w:rFonts w:hint="eastAsia" w:ascii="宋体" w:hAnsi="宋体"/>
          <w:color w:val="auto"/>
          <w:kern w:val="2"/>
          <w:sz w:val="21"/>
          <w:szCs w:val="21"/>
          <w:highlight w:val="none"/>
        </w:rPr>
        <w:t xml:space="preserve">电 话：                                   传 真： </w:t>
      </w:r>
    </w:p>
    <w:p>
      <w:pPr>
        <w:pStyle w:val="37"/>
        <w:spacing w:before="0" w:after="0"/>
        <w:ind w:firstLine="478" w:firstLineChars="228"/>
        <w:rPr>
          <w:rFonts w:hint="eastAsia" w:ascii="宋体" w:hAnsi="宋体"/>
          <w:color w:val="auto"/>
          <w:kern w:val="2"/>
          <w:sz w:val="21"/>
          <w:szCs w:val="21"/>
          <w:highlight w:val="none"/>
        </w:rPr>
      </w:pPr>
      <w:r>
        <w:rPr>
          <w:rFonts w:hint="eastAsia" w:ascii="宋体" w:hAnsi="宋体"/>
          <w:color w:val="auto"/>
          <w:kern w:val="2"/>
          <w:sz w:val="21"/>
          <w:szCs w:val="21"/>
          <w:highlight w:val="none"/>
        </w:rPr>
        <w:t xml:space="preserve">供应商开户行：                            账 户： </w:t>
      </w:r>
    </w:p>
    <w:p>
      <w:pPr>
        <w:pStyle w:val="37"/>
        <w:spacing w:before="0" w:after="0"/>
        <w:ind w:firstLine="478" w:firstLineChars="228"/>
        <w:rPr>
          <w:rFonts w:hint="eastAsia" w:ascii="宋体" w:hAnsi="宋体"/>
          <w:color w:val="auto"/>
          <w:kern w:val="2"/>
          <w:sz w:val="21"/>
          <w:szCs w:val="21"/>
          <w:highlight w:val="none"/>
        </w:rPr>
      </w:pPr>
      <w:r>
        <w:rPr>
          <w:rFonts w:hint="eastAsia" w:ascii="宋体" w:hAnsi="宋体"/>
          <w:color w:val="auto"/>
          <w:kern w:val="2"/>
          <w:sz w:val="21"/>
          <w:szCs w:val="21"/>
          <w:highlight w:val="none"/>
        </w:rPr>
        <w:t>法定代表人或授权代表（签字）：           联系电话：</w:t>
      </w:r>
    </w:p>
    <w:p>
      <w:pPr>
        <w:pStyle w:val="37"/>
        <w:spacing w:before="0" w:after="0"/>
        <w:ind w:firstLine="478" w:firstLineChars="228"/>
        <w:rPr>
          <w:rFonts w:hint="eastAsia" w:ascii="宋体" w:hAnsi="宋体"/>
          <w:color w:val="auto"/>
          <w:kern w:val="2"/>
          <w:sz w:val="21"/>
          <w:szCs w:val="21"/>
          <w:highlight w:val="none"/>
        </w:rPr>
      </w:pPr>
      <w:r>
        <w:rPr>
          <w:rFonts w:hint="eastAsia" w:ascii="宋体" w:hAnsi="宋体"/>
          <w:color w:val="auto"/>
          <w:kern w:val="2"/>
          <w:sz w:val="21"/>
          <w:szCs w:val="21"/>
          <w:highlight w:val="none"/>
        </w:rPr>
        <w:t xml:space="preserve">供应商名称（公章）： </w:t>
      </w:r>
    </w:p>
    <w:p>
      <w:pPr>
        <w:pStyle w:val="37"/>
        <w:spacing w:before="0" w:after="0"/>
        <w:ind w:firstLine="478" w:firstLineChars="228"/>
        <w:rPr>
          <w:rFonts w:hint="eastAsia" w:ascii="宋体" w:hAnsi="宋体"/>
          <w:color w:val="auto"/>
          <w:kern w:val="2"/>
          <w:sz w:val="21"/>
          <w:szCs w:val="21"/>
          <w:highlight w:val="none"/>
        </w:rPr>
      </w:pPr>
      <w:r>
        <w:rPr>
          <w:rFonts w:hint="eastAsia" w:ascii="宋体" w:hAnsi="宋体"/>
          <w:color w:val="auto"/>
          <w:kern w:val="2"/>
          <w:sz w:val="21"/>
          <w:szCs w:val="21"/>
          <w:highlight w:val="none"/>
        </w:rPr>
        <w:t>日 期：________年____月____日</w:t>
      </w:r>
    </w:p>
    <w:p>
      <w:pPr>
        <w:pStyle w:val="37"/>
        <w:spacing w:before="0" w:after="0"/>
        <w:ind w:firstLine="0"/>
        <w:rPr>
          <w:rFonts w:hint="eastAsia" w:ascii="宋体" w:hAnsi="宋体"/>
          <w:color w:val="auto"/>
          <w:kern w:val="2"/>
          <w:sz w:val="21"/>
          <w:szCs w:val="21"/>
          <w:highlight w:val="none"/>
        </w:rPr>
      </w:pPr>
    </w:p>
    <w:p>
      <w:pPr>
        <w:pStyle w:val="37"/>
        <w:spacing w:before="0" w:after="0"/>
        <w:ind w:firstLine="0"/>
        <w:rPr>
          <w:rFonts w:hint="eastAsia" w:ascii="宋体" w:hAnsi="宋体"/>
          <w:color w:val="auto"/>
          <w:kern w:val="2"/>
          <w:sz w:val="21"/>
          <w:szCs w:val="21"/>
          <w:highlight w:val="none"/>
        </w:rPr>
      </w:pPr>
    </w:p>
    <w:p>
      <w:pPr>
        <w:pStyle w:val="37"/>
        <w:spacing w:before="0" w:after="0"/>
        <w:ind w:firstLine="0"/>
        <w:rPr>
          <w:rFonts w:hint="eastAsia" w:ascii="宋体" w:hAnsi="宋体"/>
          <w:color w:val="auto"/>
          <w:kern w:val="2"/>
          <w:sz w:val="21"/>
          <w:szCs w:val="21"/>
          <w:highlight w:val="none"/>
        </w:rPr>
      </w:pPr>
    </w:p>
    <w:p>
      <w:pPr>
        <w:pStyle w:val="37"/>
        <w:spacing w:before="0" w:after="0"/>
        <w:ind w:firstLine="0"/>
        <w:rPr>
          <w:rFonts w:hint="eastAsia" w:ascii="宋体" w:hAnsi="宋体"/>
          <w:color w:val="auto"/>
          <w:kern w:val="2"/>
          <w:sz w:val="21"/>
          <w:szCs w:val="21"/>
          <w:highlight w:val="none"/>
        </w:rPr>
      </w:pPr>
    </w:p>
    <w:p>
      <w:pPr>
        <w:pStyle w:val="37"/>
        <w:spacing w:before="0" w:after="0"/>
        <w:ind w:firstLine="0"/>
        <w:rPr>
          <w:rFonts w:hint="eastAsia" w:ascii="宋体" w:hAnsi="宋体"/>
          <w:color w:val="auto"/>
          <w:kern w:val="2"/>
          <w:sz w:val="21"/>
          <w:szCs w:val="21"/>
          <w:highlight w:val="none"/>
        </w:rPr>
      </w:pPr>
    </w:p>
    <w:p>
      <w:pPr>
        <w:pStyle w:val="37"/>
        <w:spacing w:before="0" w:after="0"/>
        <w:ind w:firstLine="0"/>
        <w:rPr>
          <w:rFonts w:hint="eastAsia" w:ascii="宋体" w:hAnsi="宋体"/>
          <w:color w:val="auto"/>
          <w:kern w:val="2"/>
          <w:sz w:val="21"/>
          <w:szCs w:val="21"/>
          <w:highlight w:val="none"/>
        </w:rPr>
      </w:pPr>
    </w:p>
    <w:p>
      <w:pPr>
        <w:pStyle w:val="37"/>
        <w:spacing w:before="0" w:after="0"/>
        <w:ind w:firstLine="0"/>
        <w:rPr>
          <w:rFonts w:ascii="宋体" w:hAnsi="宋体"/>
          <w:color w:val="auto"/>
          <w:kern w:val="2"/>
          <w:sz w:val="21"/>
          <w:szCs w:val="21"/>
          <w:highlight w:val="none"/>
        </w:rPr>
      </w:pPr>
    </w:p>
    <w:p>
      <w:pPr>
        <w:spacing w:line="360" w:lineRule="auto"/>
        <w:ind w:firstLine="422" w:firstLineChars="200"/>
        <w:jc w:val="center"/>
        <w:rPr>
          <w:rFonts w:hint="eastAsia" w:ascii="宋体" w:hAnsi="宋体"/>
          <w:b/>
          <w:bCs/>
          <w:color w:val="auto"/>
          <w:kern w:val="0"/>
          <w:szCs w:val="21"/>
          <w:highlight w:val="none"/>
        </w:rPr>
      </w:pPr>
      <w:r>
        <w:rPr>
          <w:rFonts w:hint="eastAsia" w:ascii="宋体" w:hAnsi="宋体"/>
          <w:b/>
          <w:bCs/>
          <w:color w:val="auto"/>
          <w:szCs w:val="21"/>
          <w:highlight w:val="none"/>
        </w:rPr>
        <w:t>资 格 声 明</w:t>
      </w:r>
    </w:p>
    <w:p>
      <w:pPr>
        <w:spacing w:line="336" w:lineRule="auto"/>
        <w:ind w:firstLine="420" w:firstLineChars="200"/>
        <w:jc w:val="left"/>
        <w:rPr>
          <w:rFonts w:hint="eastAsia" w:ascii="宋体" w:hAnsi="宋体"/>
          <w:b/>
          <w:bCs/>
          <w:color w:val="auto"/>
          <w:kern w:val="0"/>
          <w:szCs w:val="21"/>
          <w:highlight w:val="none"/>
        </w:rPr>
      </w:pPr>
      <w:r>
        <w:rPr>
          <w:rFonts w:hint="eastAsia" w:ascii="宋体" w:hAnsi="宋体"/>
          <w:color w:val="auto"/>
          <w:szCs w:val="21"/>
          <w:highlight w:val="none"/>
        </w:rPr>
        <w:t>1、名称及其它情况：</w:t>
      </w:r>
    </w:p>
    <w:p>
      <w:pPr>
        <w:spacing w:line="336" w:lineRule="auto"/>
        <w:ind w:firstLine="315" w:firstLineChars="150"/>
        <w:rPr>
          <w:rFonts w:hint="eastAsia" w:ascii="宋体" w:hAnsi="宋体"/>
          <w:color w:val="auto"/>
          <w:szCs w:val="21"/>
          <w:highlight w:val="none"/>
        </w:rPr>
      </w:pPr>
      <w:r>
        <w:rPr>
          <w:rFonts w:hint="eastAsia" w:ascii="宋体" w:hAnsi="宋体"/>
          <w:color w:val="auto"/>
          <w:szCs w:val="21"/>
          <w:highlight w:val="none"/>
        </w:rPr>
        <w:t>（1）供应商名称：</w:t>
      </w:r>
      <w:r>
        <w:rPr>
          <w:rFonts w:hint="eastAsia" w:ascii="宋体" w:hAnsi="宋体"/>
          <w:color w:val="auto"/>
          <w:szCs w:val="21"/>
          <w:highlight w:val="none"/>
          <w:u w:val="single"/>
        </w:rPr>
        <w:t xml:space="preserve">                            </w:t>
      </w:r>
    </w:p>
    <w:p>
      <w:pPr>
        <w:tabs>
          <w:tab w:val="left" w:pos="4530"/>
        </w:tabs>
        <w:spacing w:line="336" w:lineRule="auto"/>
        <w:ind w:firstLine="315" w:firstLineChars="150"/>
        <w:rPr>
          <w:rFonts w:hint="eastAsia" w:ascii="宋体" w:hAnsi="宋体"/>
          <w:color w:val="auto"/>
          <w:szCs w:val="21"/>
          <w:highlight w:val="none"/>
        </w:rPr>
      </w:pPr>
      <w:r>
        <w:rPr>
          <w:rFonts w:hint="eastAsia" w:ascii="宋体" w:hAnsi="宋体"/>
          <w:color w:val="auto"/>
          <w:szCs w:val="21"/>
          <w:highlight w:val="none"/>
        </w:rPr>
        <w:t>（2）地址：</w:t>
      </w:r>
      <w:r>
        <w:rPr>
          <w:rFonts w:hint="eastAsia" w:ascii="宋体" w:hAnsi="宋体"/>
          <w:color w:val="auto"/>
          <w:szCs w:val="21"/>
          <w:highlight w:val="none"/>
          <w:u w:val="single"/>
        </w:rPr>
        <w:t xml:space="preserve">                           </w:t>
      </w:r>
      <w:r>
        <w:rPr>
          <w:rFonts w:hint="eastAsia" w:ascii="宋体" w:hAnsi="宋体"/>
          <w:color w:val="auto"/>
          <w:szCs w:val="21"/>
          <w:highlight w:val="none"/>
        </w:rPr>
        <w:tab/>
      </w:r>
      <w:r>
        <w:rPr>
          <w:rFonts w:hint="eastAsia" w:ascii="宋体" w:hAnsi="宋体"/>
          <w:color w:val="auto"/>
          <w:szCs w:val="21"/>
          <w:highlight w:val="none"/>
        </w:rPr>
        <w:t>邮编：</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tabs>
          <w:tab w:val="left" w:pos="600"/>
          <w:tab w:val="left" w:pos="4320"/>
        </w:tabs>
        <w:spacing w:line="336" w:lineRule="auto"/>
        <w:ind w:firstLine="840" w:firstLineChars="400"/>
        <w:rPr>
          <w:rFonts w:hint="eastAsia"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传真：</w:t>
      </w:r>
      <w:r>
        <w:rPr>
          <w:rFonts w:hint="eastAsia" w:ascii="宋体" w:hAnsi="宋体"/>
          <w:color w:val="auto"/>
          <w:szCs w:val="21"/>
          <w:highlight w:val="none"/>
          <w:u w:val="single"/>
        </w:rPr>
        <w:t xml:space="preserve">                  </w:t>
      </w:r>
    </w:p>
    <w:p>
      <w:pPr>
        <w:spacing w:line="336" w:lineRule="auto"/>
        <w:ind w:firstLine="315" w:firstLineChars="150"/>
        <w:rPr>
          <w:rFonts w:hint="eastAsia" w:ascii="宋体" w:hAnsi="宋体"/>
          <w:color w:val="auto"/>
          <w:szCs w:val="21"/>
          <w:highlight w:val="none"/>
          <w:u w:val="single"/>
        </w:rPr>
      </w:pPr>
      <w:r>
        <w:rPr>
          <w:rFonts w:hint="eastAsia" w:ascii="宋体" w:hAnsi="宋体"/>
          <w:color w:val="auto"/>
          <w:szCs w:val="21"/>
          <w:highlight w:val="none"/>
        </w:rPr>
        <w:t>（3）成立和/或注册日期：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36" w:lineRule="auto"/>
        <w:ind w:firstLine="315" w:firstLineChars="150"/>
        <w:rPr>
          <w:rFonts w:hint="eastAsia" w:ascii="宋体" w:hAnsi="宋体"/>
          <w:color w:val="auto"/>
          <w:szCs w:val="21"/>
          <w:highlight w:val="none"/>
        </w:rPr>
      </w:pPr>
      <w:r>
        <w:rPr>
          <w:rFonts w:hint="eastAsia" w:ascii="宋体" w:hAnsi="宋体"/>
          <w:color w:val="auto"/>
          <w:szCs w:val="21"/>
          <w:highlight w:val="none"/>
        </w:rPr>
        <w:t>（4）法定代表人：</w:t>
      </w:r>
      <w:r>
        <w:rPr>
          <w:rFonts w:hint="eastAsia" w:ascii="宋体" w:hAnsi="宋体"/>
          <w:color w:val="auto"/>
          <w:szCs w:val="21"/>
          <w:highlight w:val="none"/>
          <w:u w:val="single"/>
        </w:rPr>
        <w:t xml:space="preserve">                    </w:t>
      </w:r>
    </w:p>
    <w:p>
      <w:pPr>
        <w:spacing w:line="336" w:lineRule="auto"/>
        <w:ind w:firstLine="315" w:firstLineChars="150"/>
        <w:rPr>
          <w:rFonts w:hint="eastAsia" w:ascii="宋体" w:hAnsi="宋体"/>
          <w:color w:val="auto"/>
          <w:szCs w:val="21"/>
          <w:highlight w:val="none"/>
          <w:u w:val="single"/>
        </w:rPr>
      </w:pPr>
      <w:r>
        <w:rPr>
          <w:rFonts w:hint="eastAsia" w:ascii="宋体" w:hAnsi="宋体"/>
          <w:color w:val="auto"/>
          <w:szCs w:val="21"/>
          <w:highlight w:val="none"/>
        </w:rPr>
        <w:t>（5）实收资本：</w:t>
      </w:r>
      <w:r>
        <w:rPr>
          <w:rFonts w:hint="eastAsia" w:ascii="宋体" w:hAnsi="宋体"/>
          <w:color w:val="auto"/>
          <w:szCs w:val="21"/>
          <w:highlight w:val="none"/>
          <w:u w:val="single"/>
        </w:rPr>
        <w:t xml:space="preserve">                                 </w:t>
      </w:r>
    </w:p>
    <w:p>
      <w:pPr>
        <w:spacing w:line="336" w:lineRule="auto"/>
        <w:ind w:firstLine="315" w:firstLineChars="150"/>
        <w:rPr>
          <w:rFonts w:hint="eastAsia" w:ascii="宋体" w:hAnsi="宋体"/>
          <w:color w:val="auto"/>
          <w:szCs w:val="21"/>
          <w:highlight w:val="none"/>
        </w:rPr>
      </w:pPr>
      <w:r>
        <w:rPr>
          <w:rFonts w:hint="eastAsia" w:ascii="宋体" w:hAnsi="宋体"/>
          <w:color w:val="auto"/>
          <w:szCs w:val="21"/>
          <w:highlight w:val="none"/>
        </w:rPr>
        <w:t>（6）近期资产负债表：（到</w:t>
      </w:r>
      <w:r>
        <w:rPr>
          <w:rFonts w:hint="eastAsia" w:ascii="宋体" w:hAnsi="宋体"/>
          <w:color w:val="auto"/>
          <w:szCs w:val="21"/>
          <w:highlight w:val="none"/>
          <w:u w:val="single"/>
        </w:rPr>
        <w:t>20  年12月31日</w:t>
      </w:r>
      <w:r>
        <w:rPr>
          <w:rFonts w:hint="eastAsia" w:ascii="宋体" w:hAnsi="宋体"/>
          <w:color w:val="auto"/>
          <w:szCs w:val="21"/>
          <w:highlight w:val="none"/>
        </w:rPr>
        <w:t>）</w:t>
      </w:r>
    </w:p>
    <w:p>
      <w:pPr>
        <w:spacing w:line="336" w:lineRule="auto"/>
        <w:ind w:firstLine="420" w:firstLineChars="200"/>
        <w:rPr>
          <w:rFonts w:hint="eastAsia" w:ascii="宋体" w:hAnsi="宋体"/>
          <w:color w:val="auto"/>
          <w:highlight w:val="none"/>
        </w:rPr>
      </w:pPr>
      <w:r>
        <w:rPr>
          <w:rFonts w:hint="eastAsia" w:ascii="宋体" w:hAnsi="宋体"/>
          <w:color w:val="auto"/>
          <w:highlight w:val="none"/>
        </w:rPr>
        <w:t>&lt;1&gt; 固定资产：</w:t>
      </w:r>
      <w:r>
        <w:rPr>
          <w:rFonts w:hint="eastAsia" w:ascii="宋体" w:hAnsi="宋体"/>
          <w:color w:val="auto"/>
          <w:highlight w:val="none"/>
          <w:u w:val="single"/>
        </w:rPr>
        <w:t xml:space="preserve">                          </w:t>
      </w:r>
    </w:p>
    <w:p>
      <w:pPr>
        <w:spacing w:line="336" w:lineRule="auto"/>
        <w:ind w:firstLine="420" w:firstLineChars="200"/>
        <w:rPr>
          <w:rFonts w:hint="eastAsia" w:ascii="宋体" w:hAnsi="宋体"/>
          <w:color w:val="auto"/>
          <w:highlight w:val="none"/>
        </w:rPr>
      </w:pPr>
      <w:r>
        <w:rPr>
          <w:rFonts w:hint="eastAsia" w:ascii="宋体" w:hAnsi="宋体"/>
          <w:color w:val="auto"/>
          <w:highlight w:val="none"/>
        </w:rPr>
        <w:t>&lt;2&gt; 流动资金：</w:t>
      </w:r>
      <w:r>
        <w:rPr>
          <w:rFonts w:hint="eastAsia" w:ascii="宋体" w:hAnsi="宋体"/>
          <w:color w:val="auto"/>
          <w:highlight w:val="none"/>
          <w:u w:val="single"/>
        </w:rPr>
        <w:t xml:space="preserve">                          </w:t>
      </w:r>
    </w:p>
    <w:p>
      <w:pPr>
        <w:spacing w:line="336" w:lineRule="auto"/>
        <w:ind w:firstLine="420" w:firstLineChars="200"/>
        <w:rPr>
          <w:rFonts w:hint="eastAsia" w:ascii="宋体" w:hAnsi="宋体"/>
          <w:color w:val="auto"/>
          <w:highlight w:val="none"/>
        </w:rPr>
      </w:pPr>
      <w:r>
        <w:rPr>
          <w:rFonts w:hint="eastAsia" w:ascii="宋体" w:hAnsi="宋体"/>
          <w:color w:val="auto"/>
          <w:highlight w:val="none"/>
        </w:rPr>
        <w:t>&lt;3&gt; 长期负债：</w:t>
      </w:r>
      <w:r>
        <w:rPr>
          <w:rFonts w:hint="eastAsia" w:ascii="宋体" w:hAnsi="宋体"/>
          <w:color w:val="auto"/>
          <w:highlight w:val="none"/>
          <w:u w:val="single"/>
        </w:rPr>
        <w:t xml:space="preserve">                          </w:t>
      </w:r>
    </w:p>
    <w:p>
      <w:pPr>
        <w:spacing w:line="336" w:lineRule="auto"/>
        <w:ind w:firstLine="420" w:firstLineChars="200"/>
        <w:rPr>
          <w:rFonts w:hint="eastAsia" w:ascii="宋体" w:hAnsi="宋体"/>
          <w:color w:val="auto"/>
          <w:highlight w:val="none"/>
        </w:rPr>
      </w:pPr>
      <w:r>
        <w:rPr>
          <w:rFonts w:hint="eastAsia" w:ascii="宋体" w:hAnsi="宋体"/>
          <w:color w:val="auto"/>
          <w:highlight w:val="none"/>
        </w:rPr>
        <w:t>&lt;4&gt; 短期负债：</w:t>
      </w:r>
      <w:r>
        <w:rPr>
          <w:rFonts w:hint="eastAsia" w:ascii="宋体" w:hAnsi="宋体"/>
          <w:color w:val="auto"/>
          <w:highlight w:val="none"/>
          <w:u w:val="single"/>
        </w:rPr>
        <w:t xml:space="preserve">                          </w:t>
      </w:r>
    </w:p>
    <w:p>
      <w:pPr>
        <w:spacing w:line="336" w:lineRule="auto"/>
        <w:ind w:firstLine="420" w:firstLineChars="200"/>
        <w:rPr>
          <w:rFonts w:hint="eastAsia" w:ascii="宋体" w:hAnsi="宋体"/>
          <w:color w:val="auto"/>
          <w:highlight w:val="none"/>
        </w:rPr>
      </w:pPr>
      <w:r>
        <w:rPr>
          <w:rFonts w:hint="eastAsia" w:ascii="宋体" w:hAnsi="宋体"/>
          <w:color w:val="auto"/>
          <w:highlight w:val="none"/>
        </w:rPr>
        <w:t>2、近三年同类货物和服务的主要销售业绩（无有效联系人、联系方式和合同复印件的视为未填报本项目）：</w:t>
      </w:r>
    </w:p>
    <w:tbl>
      <w:tblPr>
        <w:tblStyle w:val="21"/>
        <w:tblW w:w="0" w:type="auto"/>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noWrap w:val="0"/>
            <w:vAlign w:val="top"/>
          </w:tcPr>
          <w:p>
            <w:pPr>
              <w:adjustRightInd w:val="0"/>
              <w:snapToGrid w:val="0"/>
              <w:spacing w:after="200" w:line="336" w:lineRule="auto"/>
              <w:jc w:val="center"/>
              <w:rPr>
                <w:rFonts w:ascii="宋体" w:hAnsi="宋体"/>
                <w:color w:val="auto"/>
                <w:highlight w:val="none"/>
                <w:u w:val="single"/>
              </w:rPr>
            </w:pPr>
            <w:r>
              <w:rPr>
                <w:rFonts w:hint="eastAsia" w:ascii="宋体" w:hAnsi="宋体"/>
                <w:color w:val="auto"/>
                <w:highlight w:val="none"/>
                <w:u w:val="single"/>
              </w:rPr>
              <w:t>甲方名称、联系人、联系方式</w:t>
            </w:r>
          </w:p>
        </w:tc>
        <w:tc>
          <w:tcPr>
            <w:tcW w:w="4251" w:type="dxa"/>
            <w:noWrap w:val="0"/>
            <w:vAlign w:val="top"/>
          </w:tcPr>
          <w:p>
            <w:pPr>
              <w:adjustRightInd w:val="0"/>
              <w:snapToGrid w:val="0"/>
              <w:spacing w:after="200" w:line="336" w:lineRule="auto"/>
              <w:jc w:val="center"/>
              <w:rPr>
                <w:rFonts w:ascii="宋体" w:hAnsi="宋体"/>
                <w:color w:val="auto"/>
                <w:highlight w:val="none"/>
                <w:u w:val="single"/>
              </w:rPr>
            </w:pPr>
            <w:r>
              <w:rPr>
                <w:rFonts w:hint="eastAsia" w:ascii="宋体" w:hAnsi="宋体"/>
                <w:color w:val="auto"/>
                <w:highlight w:val="none"/>
                <w:u w:val="single"/>
              </w:rPr>
              <w:t>项   目   名   称</w:t>
            </w:r>
          </w:p>
        </w:tc>
      </w:tr>
      <w:tr>
        <w:tc>
          <w:tcPr>
            <w:tcW w:w="4271" w:type="dxa"/>
            <w:noWrap w:val="0"/>
            <w:vAlign w:val="top"/>
          </w:tcPr>
          <w:p>
            <w:pPr>
              <w:adjustRightInd w:val="0"/>
              <w:snapToGrid w:val="0"/>
              <w:spacing w:after="200" w:line="336" w:lineRule="auto"/>
              <w:rPr>
                <w:rFonts w:ascii="宋体" w:hAnsi="宋体"/>
                <w:color w:val="auto"/>
                <w:highlight w:val="none"/>
              </w:rPr>
            </w:pPr>
            <w:r>
              <w:rPr>
                <w:rFonts w:hint="eastAsia" w:ascii="宋体" w:hAnsi="宋体"/>
                <w:color w:val="auto"/>
                <w:highlight w:val="none"/>
                <w:u w:val="single"/>
              </w:rPr>
              <w:t xml:space="preserve">                                                    </w:t>
            </w:r>
          </w:p>
        </w:tc>
        <w:tc>
          <w:tcPr>
            <w:tcW w:w="4251" w:type="dxa"/>
            <w:noWrap w:val="0"/>
            <w:vAlign w:val="top"/>
          </w:tcPr>
          <w:p>
            <w:pPr>
              <w:adjustRightInd w:val="0"/>
              <w:snapToGrid w:val="0"/>
              <w:spacing w:after="200" w:line="336" w:lineRule="auto"/>
              <w:rPr>
                <w:rFonts w:ascii="宋体" w:hAnsi="宋体"/>
                <w:color w:val="auto"/>
                <w:highlight w:val="none"/>
              </w:rPr>
            </w:pPr>
            <w:r>
              <w:rPr>
                <w:rFonts w:hint="eastAsia" w:ascii="宋体" w:hAnsi="宋体"/>
                <w:color w:val="auto"/>
                <w:highlight w:val="none"/>
                <w:u w:val="single"/>
              </w:rPr>
              <w:t xml:space="preserve">                                          </w:t>
            </w:r>
          </w:p>
        </w:tc>
      </w:tr>
      <w:tr>
        <w:tblPrEx>
          <w:tblCellMar>
            <w:top w:w="0" w:type="dxa"/>
            <w:left w:w="108" w:type="dxa"/>
            <w:bottom w:w="0" w:type="dxa"/>
            <w:right w:w="108" w:type="dxa"/>
          </w:tblCellMar>
        </w:tblPrEx>
        <w:tc>
          <w:tcPr>
            <w:tcW w:w="4271" w:type="dxa"/>
            <w:noWrap w:val="0"/>
            <w:vAlign w:val="top"/>
          </w:tcPr>
          <w:p>
            <w:pPr>
              <w:adjustRightInd w:val="0"/>
              <w:snapToGrid w:val="0"/>
              <w:spacing w:after="200" w:line="336" w:lineRule="auto"/>
              <w:rPr>
                <w:rFonts w:ascii="宋体" w:hAnsi="宋体"/>
                <w:color w:val="auto"/>
                <w:highlight w:val="none"/>
              </w:rPr>
            </w:pPr>
            <w:r>
              <w:rPr>
                <w:rFonts w:hint="eastAsia" w:ascii="宋体" w:hAnsi="宋体"/>
                <w:color w:val="auto"/>
                <w:highlight w:val="none"/>
                <w:u w:val="single"/>
              </w:rPr>
              <w:t xml:space="preserve">                                          </w:t>
            </w:r>
          </w:p>
        </w:tc>
        <w:tc>
          <w:tcPr>
            <w:tcW w:w="4251" w:type="dxa"/>
            <w:noWrap w:val="0"/>
            <w:vAlign w:val="top"/>
          </w:tcPr>
          <w:p>
            <w:pPr>
              <w:adjustRightInd w:val="0"/>
              <w:snapToGrid w:val="0"/>
              <w:spacing w:after="200" w:line="336" w:lineRule="auto"/>
              <w:rPr>
                <w:rFonts w:ascii="宋体" w:hAnsi="宋体"/>
                <w:color w:val="auto"/>
                <w:highlight w:val="none"/>
              </w:rPr>
            </w:pPr>
            <w:r>
              <w:rPr>
                <w:rFonts w:hint="eastAsia" w:ascii="宋体" w:hAnsi="宋体"/>
                <w:color w:val="auto"/>
                <w:highlight w:val="none"/>
                <w:u w:val="single"/>
              </w:rPr>
              <w:t xml:space="preserve">                                          </w:t>
            </w:r>
          </w:p>
        </w:tc>
      </w:tr>
    </w:tbl>
    <w:p>
      <w:pPr>
        <w:spacing w:line="336" w:lineRule="auto"/>
        <w:ind w:firstLine="420" w:firstLineChars="200"/>
        <w:rPr>
          <w:rFonts w:hint="eastAsia" w:ascii="宋体" w:hAnsi="宋体"/>
          <w:color w:val="auto"/>
          <w:kern w:val="0"/>
          <w:sz w:val="22"/>
          <w:highlight w:val="none"/>
        </w:rPr>
      </w:pPr>
      <w:r>
        <w:rPr>
          <w:rFonts w:hint="eastAsia" w:ascii="宋体" w:hAnsi="宋体"/>
          <w:color w:val="auto"/>
          <w:highlight w:val="none"/>
        </w:rPr>
        <w:t>3、本次采购要求的其他资格文件以及供应商认为需要声明的其他情况：</w:t>
      </w:r>
      <w:r>
        <w:rPr>
          <w:rFonts w:hint="eastAsia" w:ascii="宋体" w:hAnsi="宋体"/>
          <w:color w:val="auto"/>
          <w:highlight w:val="none"/>
          <w:u w:val="single"/>
        </w:rPr>
        <w:t xml:space="preserve">                         </w:t>
      </w:r>
    </w:p>
    <w:p>
      <w:pPr>
        <w:spacing w:line="336" w:lineRule="auto"/>
        <w:ind w:firstLine="420" w:firstLineChars="200"/>
        <w:rPr>
          <w:rFonts w:hint="eastAsia" w:ascii="宋体" w:hAnsi="宋体"/>
          <w:color w:val="auto"/>
          <w:highlight w:val="none"/>
        </w:rPr>
      </w:pPr>
      <w:r>
        <w:rPr>
          <w:rFonts w:hint="eastAsia" w:ascii="宋体" w:hAnsi="宋体"/>
          <w:color w:val="auto"/>
          <w:highlight w:val="none"/>
        </w:rPr>
        <w:t>兹证明上述声明是真实的、正确的，并提供了全部能提供的资料和数据，我们同意遵照贵方要求出示有关证明文件，如有虚假，自愿丧失中标资格，一年内退出扬州政府采购市场。</w:t>
      </w:r>
    </w:p>
    <w:p>
      <w:pPr>
        <w:spacing w:line="336" w:lineRule="auto"/>
        <w:ind w:firstLine="420" w:firstLineChars="200"/>
        <w:rPr>
          <w:rFonts w:hint="eastAsia" w:ascii="宋体" w:hAnsi="宋体"/>
          <w:color w:val="auto"/>
          <w:highlight w:val="none"/>
        </w:rPr>
      </w:pPr>
      <w:r>
        <w:rPr>
          <w:rFonts w:hint="eastAsia" w:ascii="宋体" w:hAnsi="宋体"/>
          <w:color w:val="auto"/>
          <w:highlight w:val="none"/>
        </w:rPr>
        <w:t>供应商公章：</w:t>
      </w:r>
      <w:r>
        <w:rPr>
          <w:rFonts w:hint="eastAsia" w:ascii="宋体" w:hAnsi="宋体"/>
          <w:color w:val="auto"/>
          <w:highlight w:val="none"/>
          <w:u w:val="single"/>
        </w:rPr>
        <w:t xml:space="preserve">                         </w:t>
      </w:r>
    </w:p>
    <w:p>
      <w:pPr>
        <w:spacing w:line="336" w:lineRule="auto"/>
        <w:ind w:firstLine="420" w:firstLineChars="200"/>
        <w:rPr>
          <w:rFonts w:hint="eastAsia" w:ascii="宋体" w:hAnsi="宋体"/>
          <w:color w:val="auto"/>
          <w:highlight w:val="none"/>
        </w:rPr>
      </w:pPr>
      <w:r>
        <w:rPr>
          <w:rFonts w:hint="eastAsia" w:ascii="宋体" w:hAnsi="宋体"/>
          <w:color w:val="auto"/>
          <w:highlight w:val="none"/>
        </w:rPr>
        <w:t>法定代表人或授权代表签字：</w:t>
      </w:r>
      <w:r>
        <w:rPr>
          <w:rFonts w:hint="eastAsia" w:ascii="宋体" w:hAnsi="宋体"/>
          <w:color w:val="auto"/>
          <w:highlight w:val="none"/>
          <w:u w:val="single"/>
        </w:rPr>
        <w:t xml:space="preserve">                          </w:t>
      </w:r>
    </w:p>
    <w:p>
      <w:pPr>
        <w:spacing w:line="336" w:lineRule="auto"/>
        <w:ind w:firstLine="420" w:firstLineChars="200"/>
        <w:rPr>
          <w:rFonts w:hint="eastAsia" w:ascii="宋体" w:hAnsi="宋体"/>
          <w:color w:val="auto"/>
          <w:highlight w:val="none"/>
        </w:rPr>
      </w:pPr>
      <w:r>
        <w:rPr>
          <w:rFonts w:hint="eastAsia" w:ascii="宋体" w:hAnsi="宋体"/>
          <w:color w:val="auto"/>
          <w:highlight w:val="none"/>
        </w:rPr>
        <w:t>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        </w:t>
      </w:r>
    </w:p>
    <w:p>
      <w:pPr>
        <w:spacing w:line="336" w:lineRule="auto"/>
        <w:rPr>
          <w:rFonts w:hint="eastAsia" w:ascii="宋体" w:hAnsi="宋体"/>
          <w:b/>
          <w:bCs/>
          <w:color w:val="auto"/>
          <w:highlight w:val="none"/>
        </w:rPr>
      </w:pPr>
      <w:r>
        <w:rPr>
          <w:rFonts w:hint="eastAsia" w:ascii="宋体" w:hAnsi="宋体"/>
          <w:b/>
          <w:bCs/>
          <w:color w:val="auto"/>
          <w:highlight w:val="none"/>
        </w:rPr>
        <w:t>（注：资格声明为格式文件,请勿修改，否则将导致投标文件无效。）</w:t>
      </w:r>
    </w:p>
    <w:p>
      <w:pPr>
        <w:pStyle w:val="40"/>
        <w:spacing w:after="312" w:afterLines="100"/>
        <w:ind w:firstLine="0" w:firstLineChars="0"/>
        <w:rPr>
          <w:rFonts w:hint="eastAsia" w:ascii="宋体" w:hAnsi="宋体"/>
          <w:b/>
          <w:color w:val="auto"/>
          <w:sz w:val="21"/>
          <w:szCs w:val="21"/>
          <w:highlight w:val="none"/>
        </w:rPr>
      </w:pPr>
    </w:p>
    <w:p>
      <w:pPr>
        <w:pStyle w:val="40"/>
        <w:spacing w:after="312" w:afterLines="100"/>
        <w:ind w:firstLine="0" w:firstLineChars="0"/>
        <w:rPr>
          <w:rFonts w:hint="eastAsia" w:ascii="宋体" w:hAnsi="宋体"/>
          <w:b/>
          <w:color w:val="auto"/>
          <w:sz w:val="21"/>
          <w:szCs w:val="21"/>
          <w:highlight w:val="none"/>
        </w:rPr>
      </w:pPr>
    </w:p>
    <w:p>
      <w:pPr>
        <w:pStyle w:val="40"/>
        <w:spacing w:after="312" w:afterLines="100"/>
        <w:ind w:firstLine="0" w:firstLineChars="0"/>
        <w:rPr>
          <w:rFonts w:hint="eastAsia" w:ascii="宋体" w:hAnsi="宋体"/>
          <w:b/>
          <w:color w:val="auto"/>
          <w:sz w:val="21"/>
          <w:szCs w:val="21"/>
          <w:highlight w:val="none"/>
        </w:rPr>
      </w:pPr>
    </w:p>
    <w:p>
      <w:pPr>
        <w:pStyle w:val="40"/>
        <w:ind w:firstLine="0" w:firstLineChars="0"/>
        <w:rPr>
          <w:rFonts w:hint="eastAsia" w:ascii="宋体" w:hAnsi="宋体"/>
          <w:b/>
          <w:color w:val="auto"/>
          <w:sz w:val="21"/>
          <w:szCs w:val="21"/>
          <w:highlight w:val="none"/>
        </w:rPr>
      </w:pPr>
    </w:p>
    <w:p>
      <w:pPr>
        <w:pStyle w:val="40"/>
        <w:ind w:firstLine="0" w:firstLineChars="0"/>
        <w:rPr>
          <w:rFonts w:hint="eastAsia" w:ascii="宋体" w:hAnsi="宋体"/>
          <w:b/>
          <w:color w:val="auto"/>
          <w:sz w:val="21"/>
          <w:szCs w:val="21"/>
          <w:highlight w:val="none"/>
        </w:rPr>
      </w:pPr>
    </w:p>
    <w:p>
      <w:pPr>
        <w:pStyle w:val="40"/>
        <w:ind w:firstLine="0" w:firstLineChars="0"/>
        <w:rPr>
          <w:rFonts w:hint="eastAsia" w:ascii="宋体" w:hAnsi="宋体"/>
          <w:b/>
          <w:color w:val="auto"/>
          <w:sz w:val="21"/>
          <w:szCs w:val="21"/>
          <w:highlight w:val="none"/>
        </w:rPr>
      </w:pPr>
    </w:p>
    <w:p>
      <w:pPr>
        <w:pStyle w:val="40"/>
        <w:ind w:firstLine="0" w:firstLineChars="0"/>
        <w:rPr>
          <w:rFonts w:hint="eastAsia" w:ascii="宋体" w:hAnsi="宋体"/>
          <w:b/>
          <w:color w:val="auto"/>
          <w:sz w:val="21"/>
          <w:szCs w:val="21"/>
          <w:highlight w:val="none"/>
        </w:rPr>
      </w:pPr>
    </w:p>
    <w:p>
      <w:pPr>
        <w:pStyle w:val="40"/>
        <w:ind w:firstLine="0" w:firstLineChars="0"/>
        <w:rPr>
          <w:rFonts w:hint="eastAsia" w:ascii="宋体" w:hAnsi="宋体"/>
          <w:b/>
          <w:color w:val="auto"/>
          <w:sz w:val="21"/>
          <w:szCs w:val="21"/>
          <w:highlight w:val="none"/>
        </w:rPr>
      </w:pPr>
    </w:p>
    <w:p>
      <w:pPr>
        <w:pStyle w:val="40"/>
        <w:ind w:firstLine="482"/>
        <w:jc w:val="center"/>
        <w:rPr>
          <w:rFonts w:hint="eastAsia" w:ascii="宋体" w:hAnsi="宋体"/>
          <w:b/>
          <w:color w:val="auto"/>
          <w:sz w:val="24"/>
          <w:szCs w:val="24"/>
          <w:highlight w:val="none"/>
        </w:rPr>
      </w:pPr>
      <w:r>
        <w:rPr>
          <w:rFonts w:hint="eastAsia" w:ascii="宋体" w:hAnsi="宋体"/>
          <w:b/>
          <w:color w:val="auto"/>
          <w:sz w:val="24"/>
          <w:szCs w:val="24"/>
          <w:highlight w:val="none"/>
        </w:rPr>
        <w:t>法人授权书</w:t>
      </w:r>
    </w:p>
    <w:p>
      <w:pPr>
        <w:pStyle w:val="40"/>
        <w:spacing w:line="360" w:lineRule="auto"/>
        <w:ind w:firstLine="420"/>
        <w:rPr>
          <w:rFonts w:hint="eastAsia" w:ascii="宋体" w:hAnsi="宋体"/>
          <w:color w:val="auto"/>
          <w:sz w:val="21"/>
          <w:szCs w:val="21"/>
          <w:highlight w:val="none"/>
        </w:rPr>
      </w:pPr>
    </w:p>
    <w:p>
      <w:pPr>
        <w:pStyle w:val="40"/>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本授权书声明：</w:t>
      </w:r>
      <w:r>
        <w:rPr>
          <w:rFonts w:ascii="宋体" w:hAnsi="宋体"/>
          <w:color w:val="auto"/>
          <w:sz w:val="21"/>
          <w:szCs w:val="21"/>
          <w:highlight w:val="none"/>
        </w:rPr>
        <w:t>________________</w:t>
      </w:r>
      <w:r>
        <w:rPr>
          <w:rFonts w:hint="eastAsia" w:ascii="宋体" w:hAnsi="宋体"/>
          <w:color w:val="auto"/>
          <w:sz w:val="21"/>
          <w:szCs w:val="21"/>
          <w:highlight w:val="none"/>
        </w:rPr>
        <w:t>（供应商名称）授权</w:t>
      </w:r>
      <w:r>
        <w:rPr>
          <w:rFonts w:ascii="宋体" w:hAnsi="宋体"/>
          <w:color w:val="auto"/>
          <w:sz w:val="21"/>
          <w:szCs w:val="21"/>
          <w:highlight w:val="none"/>
        </w:rPr>
        <w:t>___________</w:t>
      </w:r>
      <w:r>
        <w:rPr>
          <w:rFonts w:hint="eastAsia" w:ascii="宋体" w:hAnsi="宋体"/>
          <w:color w:val="auto"/>
          <w:sz w:val="21"/>
          <w:szCs w:val="21"/>
          <w:highlight w:val="none"/>
        </w:rPr>
        <w:t>（被授权人的姓名）为我方就</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（项目编号及名称）采购活动的合法代理人，以本公司名义全权处理一切与该项目采购有关的事务。</w:t>
      </w:r>
    </w:p>
    <w:p>
      <w:pPr>
        <w:pStyle w:val="40"/>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本授权书于</w:t>
      </w:r>
      <w:r>
        <w:rPr>
          <w:rFonts w:ascii="宋体" w:hAnsi="宋体"/>
          <w:color w:val="auto"/>
          <w:sz w:val="21"/>
          <w:szCs w:val="21"/>
          <w:highlight w:val="none"/>
        </w:rPr>
        <w:t>______</w:t>
      </w:r>
      <w:r>
        <w:rPr>
          <w:rFonts w:hint="eastAsia" w:ascii="宋体" w:hAnsi="宋体"/>
          <w:color w:val="auto"/>
          <w:sz w:val="21"/>
          <w:szCs w:val="21"/>
          <w:highlight w:val="none"/>
        </w:rPr>
        <w:t>年</w:t>
      </w:r>
      <w:r>
        <w:rPr>
          <w:rFonts w:ascii="宋体" w:hAnsi="宋体"/>
          <w:color w:val="auto"/>
          <w:sz w:val="21"/>
          <w:szCs w:val="21"/>
          <w:highlight w:val="none"/>
        </w:rPr>
        <w:t>____</w:t>
      </w:r>
      <w:r>
        <w:rPr>
          <w:rFonts w:hint="eastAsia" w:ascii="宋体" w:hAnsi="宋体"/>
          <w:color w:val="auto"/>
          <w:sz w:val="21"/>
          <w:szCs w:val="21"/>
          <w:highlight w:val="none"/>
        </w:rPr>
        <w:t>月</w:t>
      </w:r>
      <w:r>
        <w:rPr>
          <w:rFonts w:ascii="宋体" w:hAnsi="宋体"/>
          <w:color w:val="auto"/>
          <w:sz w:val="21"/>
          <w:szCs w:val="21"/>
          <w:highlight w:val="none"/>
        </w:rPr>
        <w:t>____</w:t>
      </w:r>
      <w:r>
        <w:rPr>
          <w:rFonts w:hint="eastAsia" w:ascii="宋体" w:hAnsi="宋体"/>
          <w:color w:val="auto"/>
          <w:sz w:val="21"/>
          <w:szCs w:val="21"/>
          <w:highlight w:val="none"/>
        </w:rPr>
        <w:t>日起生效，特此声明。</w:t>
      </w:r>
    </w:p>
    <w:p>
      <w:pPr>
        <w:pStyle w:val="40"/>
        <w:spacing w:line="360" w:lineRule="auto"/>
        <w:ind w:firstLine="0" w:firstLineChars="0"/>
        <w:rPr>
          <w:rFonts w:ascii="宋体" w:hAnsi="宋体"/>
          <w:color w:val="auto"/>
          <w:sz w:val="21"/>
          <w:szCs w:val="21"/>
          <w:highlight w:val="none"/>
        </w:rPr>
      </w:pPr>
      <w:r>
        <w:rPr>
          <w:rFonts w:ascii="宋体" w:hAnsi="宋体"/>
          <w:color w:val="auto"/>
          <w:sz w:val="21"/>
          <w:szCs w:val="21"/>
          <w:highlight w:val="none"/>
        </w:rPr>
        <w:t xml:space="preserve">    </w:t>
      </w:r>
    </w:p>
    <w:p>
      <w:pPr>
        <w:pStyle w:val="40"/>
        <w:spacing w:line="360" w:lineRule="auto"/>
        <w:ind w:firstLine="420"/>
        <w:rPr>
          <w:rFonts w:ascii="宋体" w:hAnsi="宋体"/>
          <w:color w:val="auto"/>
          <w:sz w:val="21"/>
          <w:szCs w:val="21"/>
          <w:highlight w:val="none"/>
          <w:u w:val="single"/>
        </w:rPr>
      </w:pPr>
      <w:r>
        <w:rPr>
          <w:rFonts w:hint="eastAsia" w:ascii="宋体" w:hAnsi="宋体"/>
          <w:color w:val="auto"/>
          <w:sz w:val="21"/>
          <w:szCs w:val="21"/>
          <w:highlight w:val="none"/>
        </w:rPr>
        <w:t>被授权人签字：</w:t>
      </w:r>
      <w:r>
        <w:rPr>
          <w:rFonts w:hint="eastAsia" w:ascii="宋体" w:hAnsi="宋体"/>
          <w:color w:val="auto"/>
          <w:sz w:val="21"/>
          <w:szCs w:val="21"/>
          <w:highlight w:val="none"/>
          <w:u w:val="single"/>
        </w:rPr>
        <w:t xml:space="preserve">                             </w:t>
      </w:r>
    </w:p>
    <w:p>
      <w:pPr>
        <w:pStyle w:val="40"/>
        <w:spacing w:line="360" w:lineRule="auto"/>
        <w:ind w:firstLine="420"/>
        <w:rPr>
          <w:rFonts w:ascii="宋体" w:hAnsi="宋体"/>
          <w:color w:val="auto"/>
          <w:sz w:val="21"/>
          <w:szCs w:val="21"/>
          <w:highlight w:val="none"/>
          <w:u w:val="single"/>
        </w:rPr>
      </w:pPr>
      <w:r>
        <w:rPr>
          <w:rFonts w:hint="eastAsia" w:ascii="宋体" w:hAnsi="宋体"/>
          <w:color w:val="auto"/>
          <w:sz w:val="21"/>
          <w:szCs w:val="21"/>
          <w:highlight w:val="none"/>
        </w:rPr>
        <w:t>联系电话（手机）：</w:t>
      </w:r>
      <w:r>
        <w:rPr>
          <w:rFonts w:hint="eastAsia" w:ascii="宋体" w:hAnsi="宋体"/>
          <w:color w:val="auto"/>
          <w:sz w:val="21"/>
          <w:szCs w:val="21"/>
          <w:highlight w:val="none"/>
          <w:u w:val="single"/>
        </w:rPr>
        <w:t xml:space="preserve">                           </w:t>
      </w:r>
    </w:p>
    <w:p>
      <w:pPr>
        <w:pStyle w:val="40"/>
        <w:spacing w:line="360" w:lineRule="auto"/>
        <w:ind w:firstLine="0" w:firstLineChars="0"/>
        <w:rPr>
          <w:rFonts w:ascii="宋体" w:hAnsi="宋体"/>
          <w:color w:val="auto"/>
          <w:sz w:val="21"/>
          <w:szCs w:val="21"/>
          <w:highlight w:val="none"/>
        </w:rPr>
      </w:pPr>
      <w:r>
        <w:rPr>
          <w:rFonts w:ascii="宋体" w:hAnsi="宋体"/>
          <w:color w:val="auto"/>
          <w:sz w:val="21"/>
          <w:szCs w:val="21"/>
          <w:highlight w:val="none"/>
        </w:rPr>
        <w:t xml:space="preserve">    </w:t>
      </w:r>
      <w:r>
        <w:rPr>
          <w:rFonts w:hint="eastAsia" w:ascii="宋体" w:hAnsi="宋体"/>
          <w:color w:val="auto"/>
          <w:sz w:val="21"/>
          <w:szCs w:val="21"/>
          <w:highlight w:val="none"/>
        </w:rPr>
        <w:t>单位名称：</w:t>
      </w:r>
      <w:r>
        <w:rPr>
          <w:rFonts w:ascii="宋体" w:hAnsi="宋体"/>
          <w:color w:val="auto"/>
          <w:sz w:val="21"/>
          <w:szCs w:val="21"/>
          <w:highlight w:val="none"/>
        </w:rPr>
        <w:t>____________________________________</w:t>
      </w:r>
    </w:p>
    <w:p>
      <w:pPr>
        <w:pStyle w:val="40"/>
        <w:spacing w:line="360" w:lineRule="auto"/>
        <w:ind w:firstLine="0" w:firstLineChars="0"/>
        <w:rPr>
          <w:rFonts w:ascii="宋体" w:hAnsi="宋体"/>
          <w:color w:val="auto"/>
          <w:sz w:val="21"/>
          <w:szCs w:val="21"/>
          <w:highlight w:val="none"/>
        </w:rPr>
      </w:pPr>
      <w:r>
        <w:rPr>
          <w:color w:val="auto"/>
          <w:sz w:val="21"/>
          <w:szCs w:val="21"/>
          <w:highlight w:val="none"/>
        </w:rPr>
        <w:t xml:space="preserve">  </w:t>
      </w:r>
      <w:r>
        <w:rPr>
          <w:rFonts w:hint="eastAsia"/>
          <w:color w:val="auto"/>
          <w:sz w:val="21"/>
          <w:szCs w:val="21"/>
          <w:highlight w:val="none"/>
        </w:rPr>
        <w:t xml:space="preserve"> </w:t>
      </w:r>
      <w:r>
        <w:rPr>
          <w:color w:val="auto"/>
          <w:sz w:val="21"/>
          <w:szCs w:val="21"/>
          <w:highlight w:val="none"/>
        </w:rPr>
        <w:t xml:space="preserve"> </w:t>
      </w:r>
      <w:r>
        <w:rPr>
          <w:rFonts w:hint="eastAsia" w:ascii="宋体" w:hAnsi="宋体"/>
          <w:color w:val="auto"/>
          <w:sz w:val="21"/>
          <w:szCs w:val="21"/>
          <w:highlight w:val="none"/>
        </w:rPr>
        <w:t>授权单位盖章：</w:t>
      </w:r>
      <w:r>
        <w:rPr>
          <w:rFonts w:ascii="宋体" w:hAnsi="宋体"/>
          <w:color w:val="auto"/>
          <w:sz w:val="21"/>
          <w:szCs w:val="21"/>
          <w:highlight w:val="none"/>
        </w:rPr>
        <w:t>_________________________________</w:t>
      </w:r>
    </w:p>
    <w:p>
      <w:pPr>
        <w:pStyle w:val="40"/>
        <w:spacing w:line="360" w:lineRule="auto"/>
        <w:ind w:firstLine="420"/>
        <w:rPr>
          <w:color w:val="auto"/>
          <w:sz w:val="21"/>
          <w:szCs w:val="21"/>
          <w:highlight w:val="none"/>
          <w:u w:val="single"/>
        </w:rPr>
      </w:pPr>
      <w:r>
        <w:rPr>
          <w:rFonts w:hint="eastAsia"/>
          <w:color w:val="auto"/>
          <w:sz w:val="21"/>
          <w:szCs w:val="21"/>
          <w:highlight w:val="none"/>
        </w:rPr>
        <w:t>地址：</w:t>
      </w:r>
      <w:r>
        <w:rPr>
          <w:color w:val="auto"/>
          <w:sz w:val="21"/>
          <w:szCs w:val="21"/>
          <w:highlight w:val="none"/>
          <w:u w:val="single"/>
        </w:rPr>
        <w:t xml:space="preserve">                                         </w:t>
      </w:r>
    </w:p>
    <w:p>
      <w:pPr>
        <w:pStyle w:val="40"/>
        <w:spacing w:line="360" w:lineRule="auto"/>
        <w:ind w:firstLine="420"/>
        <w:rPr>
          <w:color w:val="auto"/>
          <w:sz w:val="21"/>
          <w:szCs w:val="21"/>
          <w:highlight w:val="none"/>
        </w:rPr>
      </w:pPr>
      <w:r>
        <w:rPr>
          <w:rFonts w:hint="eastAsia"/>
          <w:color w:val="auto"/>
          <w:sz w:val="21"/>
          <w:szCs w:val="21"/>
          <w:highlight w:val="none"/>
        </w:rPr>
        <w:t>日期：</w:t>
      </w:r>
      <w:r>
        <w:rPr>
          <w:color w:val="auto"/>
          <w:sz w:val="21"/>
          <w:szCs w:val="21"/>
          <w:highlight w:val="none"/>
          <w:u w:val="single"/>
        </w:rPr>
        <w:t xml:space="preserve">                                         </w:t>
      </w:r>
      <w:r>
        <w:rPr>
          <w:color w:val="auto"/>
          <w:sz w:val="21"/>
          <w:szCs w:val="21"/>
          <w:highlight w:val="none"/>
        </w:rPr>
        <w:t xml:space="preserve"> </w:t>
      </w:r>
    </w:p>
    <w:p>
      <w:pPr>
        <w:spacing w:line="460" w:lineRule="exact"/>
        <w:ind w:firstLine="420" w:firstLineChars="200"/>
        <w:rPr>
          <w:rFonts w:hint="eastAsia" w:ascii="宋体" w:hAnsi="宋体"/>
          <w:bCs/>
          <w:color w:val="auto"/>
          <w:szCs w:val="21"/>
          <w:highlight w:val="none"/>
        </w:rPr>
      </w:pPr>
    </w:p>
    <w:p>
      <w:pPr>
        <w:spacing w:line="46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被授权人身份证复印件：</w:t>
      </w:r>
    </w:p>
    <w:p>
      <w:pPr>
        <w:spacing w:line="460" w:lineRule="exact"/>
        <w:ind w:firstLine="420" w:firstLineChars="200"/>
        <w:rPr>
          <w:rFonts w:hint="eastAsia" w:ascii="宋体" w:hAnsi="宋体"/>
          <w:bCs/>
          <w:color w:val="auto"/>
          <w:szCs w:val="21"/>
          <w:highlight w:val="none"/>
        </w:rPr>
      </w:pPr>
    </w:p>
    <w:p>
      <w:pPr>
        <w:spacing w:line="460" w:lineRule="exact"/>
        <w:ind w:firstLine="420" w:firstLineChars="200"/>
        <w:rPr>
          <w:rFonts w:hint="eastAsia" w:ascii="宋体" w:hAnsi="宋体"/>
          <w:bCs/>
          <w:color w:val="auto"/>
          <w:szCs w:val="21"/>
          <w:highlight w:val="none"/>
        </w:rPr>
      </w:pPr>
    </w:p>
    <w:p>
      <w:pPr>
        <w:spacing w:line="460" w:lineRule="exact"/>
        <w:ind w:firstLine="420" w:firstLineChars="200"/>
        <w:rPr>
          <w:rFonts w:hint="eastAsia" w:ascii="宋体" w:hAnsi="宋体"/>
          <w:bCs/>
          <w:color w:val="auto"/>
          <w:szCs w:val="21"/>
          <w:highlight w:val="none"/>
        </w:rPr>
      </w:pPr>
    </w:p>
    <w:p>
      <w:pPr>
        <w:spacing w:line="460" w:lineRule="exact"/>
        <w:ind w:firstLine="420" w:firstLineChars="200"/>
        <w:rPr>
          <w:rFonts w:hint="eastAsia" w:ascii="宋体" w:hAnsi="宋体"/>
          <w:bCs/>
          <w:color w:val="auto"/>
          <w:szCs w:val="21"/>
          <w:highlight w:val="none"/>
        </w:rPr>
      </w:pPr>
    </w:p>
    <w:p>
      <w:pPr>
        <w:spacing w:line="460" w:lineRule="exact"/>
        <w:ind w:firstLine="420" w:firstLineChars="200"/>
        <w:rPr>
          <w:rFonts w:hint="eastAsia" w:ascii="宋体" w:hAnsi="宋体"/>
          <w:bCs/>
          <w:color w:val="auto"/>
          <w:szCs w:val="21"/>
          <w:highlight w:val="none"/>
        </w:rPr>
      </w:pPr>
    </w:p>
    <w:p>
      <w:pPr>
        <w:spacing w:line="460" w:lineRule="exact"/>
        <w:rPr>
          <w:rFonts w:hint="eastAsia" w:ascii="宋体" w:hAnsi="宋体"/>
          <w:bCs/>
          <w:color w:val="auto"/>
          <w:szCs w:val="21"/>
          <w:highlight w:val="none"/>
        </w:rPr>
      </w:pPr>
    </w:p>
    <w:p>
      <w:pPr>
        <w:spacing w:line="460" w:lineRule="exact"/>
        <w:rPr>
          <w:rFonts w:hint="eastAsia" w:ascii="宋体" w:hAnsi="宋体"/>
          <w:bCs/>
          <w:color w:val="auto"/>
          <w:sz w:val="24"/>
          <w:highlight w:val="none"/>
        </w:rPr>
      </w:pPr>
    </w:p>
    <w:p>
      <w:pPr>
        <w:spacing w:line="460" w:lineRule="exact"/>
        <w:rPr>
          <w:rFonts w:hint="eastAsia" w:ascii="宋体" w:hAnsi="宋体"/>
          <w:bCs/>
          <w:color w:val="auto"/>
          <w:sz w:val="24"/>
          <w:highlight w:val="none"/>
        </w:rPr>
      </w:pPr>
    </w:p>
    <w:p>
      <w:pPr>
        <w:spacing w:line="460" w:lineRule="exact"/>
        <w:rPr>
          <w:rFonts w:hint="eastAsia" w:ascii="宋体" w:hAnsi="宋体"/>
          <w:bCs/>
          <w:color w:val="auto"/>
          <w:sz w:val="24"/>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460" w:lineRule="exact"/>
        <w:rPr>
          <w:rFonts w:hint="eastAsia" w:ascii="宋体" w:hAnsi="宋体"/>
          <w:bCs/>
          <w:color w:val="auto"/>
          <w:sz w:val="24"/>
          <w:highlight w:val="none"/>
        </w:rPr>
      </w:pPr>
    </w:p>
    <w:p>
      <w:pPr>
        <w:spacing w:line="460" w:lineRule="exact"/>
        <w:rPr>
          <w:rFonts w:hint="eastAsia" w:ascii="宋体" w:hAnsi="宋体"/>
          <w:bCs/>
          <w:color w:val="auto"/>
          <w:sz w:val="24"/>
          <w:highlight w:val="none"/>
        </w:rPr>
      </w:pPr>
    </w:p>
    <w:p>
      <w:pPr>
        <w:spacing w:line="460" w:lineRule="exact"/>
        <w:rPr>
          <w:rFonts w:hint="eastAsia" w:ascii="宋体" w:hAnsi="宋体"/>
          <w:bCs/>
          <w:color w:val="auto"/>
          <w:sz w:val="24"/>
          <w:highlight w:val="none"/>
        </w:rPr>
      </w:pPr>
    </w:p>
    <w:p>
      <w:pPr>
        <w:spacing w:line="460" w:lineRule="exact"/>
        <w:rPr>
          <w:rFonts w:hint="eastAsia" w:ascii="宋体" w:hAnsi="宋体"/>
          <w:bCs/>
          <w:color w:val="auto"/>
          <w:sz w:val="24"/>
          <w:highlight w:val="none"/>
        </w:rPr>
      </w:pPr>
    </w:p>
    <w:p>
      <w:pPr>
        <w:spacing w:line="460" w:lineRule="exact"/>
        <w:rPr>
          <w:rFonts w:hint="eastAsia" w:ascii="宋体" w:hAnsi="宋体"/>
          <w:bCs/>
          <w:color w:val="auto"/>
          <w:sz w:val="24"/>
          <w:highlight w:val="none"/>
        </w:rPr>
      </w:pPr>
    </w:p>
    <w:p>
      <w:pPr>
        <w:spacing w:line="460" w:lineRule="exact"/>
        <w:rPr>
          <w:rFonts w:hint="eastAsia" w:ascii="宋体" w:hAnsi="宋体"/>
          <w:bCs/>
          <w:color w:val="auto"/>
          <w:sz w:val="24"/>
          <w:highlight w:val="none"/>
        </w:rPr>
      </w:pPr>
    </w:p>
    <w:p>
      <w:pPr>
        <w:pStyle w:val="30"/>
        <w:rPr>
          <w:rFonts w:hint="eastAsia" w:ascii="宋体" w:hAnsi="宋体"/>
          <w:bCs/>
          <w:color w:val="auto"/>
          <w:sz w:val="24"/>
          <w:highlight w:val="none"/>
        </w:rPr>
      </w:pPr>
    </w:p>
    <w:p>
      <w:pPr>
        <w:spacing w:line="360" w:lineRule="auto"/>
        <w:rPr>
          <w:rFonts w:hint="eastAsia" w:ascii="宋体" w:hAnsi="宋体"/>
          <w:b/>
          <w:bCs/>
          <w:color w:val="auto"/>
          <w:szCs w:val="21"/>
          <w:highlight w:val="none"/>
        </w:rPr>
      </w:pPr>
      <w:r>
        <w:rPr>
          <w:rFonts w:hint="eastAsia" w:ascii="宋体" w:hAnsi="宋体"/>
          <w:b/>
          <w:color w:val="auto"/>
          <w:szCs w:val="21"/>
          <w:highlight w:val="none"/>
        </w:rPr>
        <w:t>参加本次政府采购活动前 3 年内在经营活动中没有重大违法记</w:t>
      </w:r>
      <w:r>
        <w:rPr>
          <w:rFonts w:hint="eastAsia" w:ascii="宋体" w:hAnsi="宋体"/>
          <w:b/>
          <w:bCs/>
          <w:color w:val="auto"/>
          <w:szCs w:val="21"/>
          <w:highlight w:val="none"/>
        </w:rPr>
        <w:t>录的书面声明</w:t>
      </w:r>
    </w:p>
    <w:p>
      <w:pPr>
        <w:spacing w:line="360" w:lineRule="auto"/>
        <w:rPr>
          <w:rFonts w:hint="eastAsia" w:ascii="宋体" w:hAnsi="宋体"/>
          <w:color w:val="auto"/>
          <w:szCs w:val="21"/>
          <w:highlight w:val="none"/>
        </w:rPr>
      </w:pPr>
    </w:p>
    <w:p>
      <w:pPr>
        <w:spacing w:after="312" w:afterLines="100" w:line="360" w:lineRule="auto"/>
        <w:jc w:val="center"/>
        <w:rPr>
          <w:rFonts w:hint="eastAsia" w:ascii="宋体" w:hAnsi="宋体"/>
          <w:b/>
          <w:bCs/>
          <w:color w:val="auto"/>
          <w:szCs w:val="21"/>
          <w:highlight w:val="none"/>
        </w:rPr>
      </w:pPr>
      <w:r>
        <w:rPr>
          <w:rFonts w:hint="eastAsia" w:ascii="宋体" w:hAnsi="宋体"/>
          <w:b/>
          <w:bCs/>
          <w:color w:val="auto"/>
          <w:sz w:val="24"/>
          <w:szCs w:val="24"/>
          <w:highlight w:val="none"/>
        </w:rPr>
        <w:t>声  明</w:t>
      </w:r>
    </w:p>
    <w:p>
      <w:pPr>
        <w:spacing w:line="360" w:lineRule="auto"/>
        <w:rPr>
          <w:rFonts w:hint="eastAsia" w:ascii="宋体" w:hAnsi="宋体"/>
          <w:bCs/>
          <w:color w:val="auto"/>
          <w:szCs w:val="21"/>
          <w:highlight w:val="none"/>
        </w:rPr>
      </w:pPr>
      <w:r>
        <w:rPr>
          <w:rFonts w:hint="eastAsia" w:ascii="宋体" w:hAnsi="宋体"/>
          <w:b/>
          <w:bCs/>
          <w:color w:val="auto"/>
          <w:szCs w:val="21"/>
          <w:highlight w:val="none"/>
        </w:rPr>
        <w:t xml:space="preserve">    </w:t>
      </w:r>
      <w:r>
        <w:rPr>
          <w:rFonts w:hint="eastAsia" w:ascii="宋体" w:hAnsi="宋体"/>
          <w:bCs/>
          <w:color w:val="auto"/>
          <w:szCs w:val="21"/>
          <w:highlight w:val="none"/>
        </w:rPr>
        <w:t>我公司郑重声明：参加本次政府采购活动前3年内，我公司在经营活动中没有因违法经营受到刑事处罚或者责令停产停业、吊销许可证或者执照、较大数额罚款等行政处罚。</w:t>
      </w:r>
    </w:p>
    <w:p>
      <w:pPr>
        <w:spacing w:line="360" w:lineRule="auto"/>
        <w:rPr>
          <w:rFonts w:hint="eastAsia" w:ascii="宋体" w:hAnsi="宋体"/>
          <w:bCs/>
          <w:color w:val="auto"/>
          <w:szCs w:val="21"/>
          <w:highlight w:val="none"/>
        </w:rPr>
      </w:pPr>
      <w:r>
        <w:rPr>
          <w:rFonts w:hint="eastAsia" w:ascii="宋体" w:hAnsi="宋体"/>
          <w:bCs/>
          <w:color w:val="auto"/>
          <w:szCs w:val="21"/>
          <w:highlight w:val="none"/>
        </w:rPr>
        <w:t xml:space="preserve">                              </w:t>
      </w:r>
    </w:p>
    <w:p>
      <w:pPr>
        <w:spacing w:line="360" w:lineRule="auto"/>
        <w:ind w:firstLine="3150" w:firstLineChars="1500"/>
        <w:rPr>
          <w:rFonts w:hint="eastAsia" w:ascii="宋体" w:hAnsi="宋体"/>
          <w:bCs/>
          <w:color w:val="auto"/>
          <w:szCs w:val="21"/>
          <w:highlight w:val="none"/>
        </w:rPr>
      </w:pPr>
    </w:p>
    <w:p>
      <w:pPr>
        <w:spacing w:line="360" w:lineRule="auto"/>
        <w:ind w:firstLine="3150" w:firstLineChars="1500"/>
        <w:rPr>
          <w:rFonts w:hint="eastAsia" w:ascii="宋体" w:hAnsi="宋体"/>
          <w:bCs/>
          <w:color w:val="auto"/>
          <w:szCs w:val="21"/>
          <w:highlight w:val="none"/>
        </w:rPr>
      </w:pPr>
      <w:r>
        <w:rPr>
          <w:rFonts w:hint="eastAsia" w:ascii="宋体" w:hAnsi="宋体"/>
          <w:bCs/>
          <w:color w:val="auto"/>
          <w:szCs w:val="21"/>
          <w:highlight w:val="none"/>
        </w:rPr>
        <w:t xml:space="preserve"> 供应商名称（公章）：</w:t>
      </w:r>
    </w:p>
    <w:p>
      <w:pPr>
        <w:spacing w:line="360" w:lineRule="auto"/>
        <w:rPr>
          <w:rFonts w:hint="eastAsia" w:ascii="宋体" w:hAnsi="宋体"/>
          <w:bCs/>
          <w:color w:val="auto"/>
          <w:szCs w:val="21"/>
          <w:highlight w:val="none"/>
        </w:rPr>
      </w:pPr>
      <w:r>
        <w:rPr>
          <w:rFonts w:hint="eastAsia" w:ascii="宋体" w:hAnsi="宋体"/>
          <w:bCs/>
          <w:color w:val="auto"/>
          <w:szCs w:val="21"/>
          <w:highlight w:val="none"/>
        </w:rPr>
        <w:t xml:space="preserve">                               法定代表人或授权代表签字：_______________________</w:t>
      </w:r>
    </w:p>
    <w:p>
      <w:pPr>
        <w:spacing w:line="360" w:lineRule="auto"/>
        <w:rPr>
          <w:rFonts w:hint="eastAsia" w:ascii="宋体" w:hAnsi="宋体"/>
          <w:bCs/>
          <w:color w:val="auto"/>
          <w:szCs w:val="21"/>
          <w:highlight w:val="none"/>
        </w:rPr>
      </w:pPr>
      <w:r>
        <w:rPr>
          <w:rFonts w:hint="eastAsia" w:ascii="宋体" w:hAnsi="宋体"/>
          <w:bCs/>
          <w:color w:val="auto"/>
          <w:szCs w:val="21"/>
          <w:highlight w:val="none"/>
        </w:rPr>
        <w:t xml:space="preserve">                               日期：______年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pPr>
        <w:pStyle w:val="30"/>
        <w:rPr>
          <w:rFonts w:hint="eastAsia" w:ascii="宋体" w:hAnsi="宋体"/>
          <w:bCs/>
          <w:color w:val="auto"/>
          <w:sz w:val="24"/>
          <w:highlight w:val="none"/>
        </w:rPr>
      </w:pPr>
    </w:p>
    <w:p>
      <w:pPr>
        <w:pStyle w:val="30"/>
        <w:rPr>
          <w:rFonts w:hint="eastAsia" w:ascii="宋体" w:hAnsi="宋体"/>
          <w:bCs/>
          <w:color w:val="auto"/>
          <w:sz w:val="24"/>
          <w:highlight w:val="none"/>
        </w:rPr>
      </w:pPr>
    </w:p>
    <w:p>
      <w:pPr>
        <w:pStyle w:val="30"/>
        <w:rPr>
          <w:rFonts w:hint="eastAsia" w:ascii="宋体" w:hAnsi="宋体"/>
          <w:bCs/>
          <w:color w:val="auto"/>
          <w:sz w:val="24"/>
          <w:highlight w:val="none"/>
        </w:rPr>
      </w:pPr>
    </w:p>
    <w:p>
      <w:pPr>
        <w:pStyle w:val="30"/>
        <w:rPr>
          <w:rFonts w:hint="eastAsia" w:ascii="宋体" w:hAnsi="宋体"/>
          <w:bCs/>
          <w:color w:val="auto"/>
          <w:sz w:val="24"/>
          <w:highlight w:val="none"/>
        </w:rPr>
      </w:pPr>
    </w:p>
    <w:p>
      <w:pPr>
        <w:pStyle w:val="30"/>
        <w:rPr>
          <w:rFonts w:hint="eastAsia" w:ascii="宋体" w:hAnsi="宋体"/>
          <w:bCs/>
          <w:color w:val="auto"/>
          <w:sz w:val="24"/>
          <w:highlight w:val="none"/>
        </w:rPr>
      </w:pPr>
    </w:p>
    <w:p>
      <w:pPr>
        <w:pStyle w:val="30"/>
        <w:rPr>
          <w:rFonts w:hint="eastAsia" w:ascii="宋体" w:hAnsi="宋体"/>
          <w:bCs/>
          <w:color w:val="auto"/>
          <w:sz w:val="24"/>
          <w:highlight w:val="none"/>
        </w:rPr>
      </w:pPr>
    </w:p>
    <w:p>
      <w:pPr>
        <w:pStyle w:val="30"/>
        <w:rPr>
          <w:rFonts w:hint="eastAsia" w:ascii="宋体" w:hAnsi="宋体"/>
          <w:bCs/>
          <w:color w:val="auto"/>
          <w:sz w:val="24"/>
          <w:highlight w:val="none"/>
        </w:rPr>
      </w:pPr>
    </w:p>
    <w:p>
      <w:pPr>
        <w:pStyle w:val="30"/>
        <w:rPr>
          <w:rFonts w:hint="eastAsia" w:ascii="宋体" w:hAnsi="宋体"/>
          <w:bCs/>
          <w:color w:val="auto"/>
          <w:sz w:val="24"/>
          <w:highlight w:val="none"/>
        </w:rPr>
      </w:pPr>
    </w:p>
    <w:p>
      <w:pPr>
        <w:pStyle w:val="30"/>
        <w:rPr>
          <w:rFonts w:hint="eastAsia" w:ascii="宋体" w:hAnsi="宋体"/>
          <w:bCs/>
          <w:color w:val="auto"/>
          <w:sz w:val="24"/>
          <w:highlight w:val="none"/>
        </w:rPr>
      </w:pPr>
    </w:p>
    <w:p>
      <w:pPr>
        <w:pStyle w:val="30"/>
        <w:rPr>
          <w:rFonts w:hint="eastAsia" w:ascii="宋体" w:hAnsi="宋体"/>
          <w:bCs/>
          <w:color w:val="auto"/>
          <w:sz w:val="24"/>
          <w:highlight w:val="none"/>
        </w:rPr>
      </w:pPr>
    </w:p>
    <w:p>
      <w:pPr>
        <w:pStyle w:val="30"/>
        <w:rPr>
          <w:rFonts w:hint="eastAsia" w:ascii="宋体" w:hAnsi="宋体"/>
          <w:bCs/>
          <w:color w:val="auto"/>
          <w:sz w:val="24"/>
          <w:highlight w:val="none"/>
        </w:rPr>
      </w:pPr>
    </w:p>
    <w:p>
      <w:pPr>
        <w:pStyle w:val="30"/>
        <w:rPr>
          <w:rFonts w:hint="eastAsia" w:ascii="宋体" w:hAnsi="宋体"/>
          <w:bCs/>
          <w:color w:val="auto"/>
          <w:sz w:val="24"/>
          <w:highlight w:val="none"/>
        </w:rPr>
      </w:pPr>
    </w:p>
    <w:p>
      <w:pPr>
        <w:pStyle w:val="30"/>
        <w:rPr>
          <w:rFonts w:hint="eastAsia" w:ascii="宋体" w:hAnsi="宋体"/>
          <w:bCs/>
          <w:color w:val="auto"/>
          <w:sz w:val="24"/>
          <w:highlight w:val="none"/>
        </w:rPr>
      </w:pPr>
    </w:p>
    <w:p>
      <w:pPr>
        <w:pStyle w:val="30"/>
        <w:rPr>
          <w:rFonts w:hint="eastAsia" w:ascii="宋体" w:hAnsi="宋体"/>
          <w:bCs/>
          <w:color w:val="auto"/>
          <w:sz w:val="24"/>
          <w:highlight w:val="none"/>
        </w:rPr>
      </w:pPr>
    </w:p>
    <w:p>
      <w:pPr>
        <w:pStyle w:val="30"/>
        <w:rPr>
          <w:rFonts w:hint="eastAsia" w:ascii="宋体" w:hAnsi="宋体"/>
          <w:bCs/>
          <w:color w:val="auto"/>
          <w:sz w:val="24"/>
          <w:highlight w:val="none"/>
        </w:rPr>
      </w:pPr>
    </w:p>
    <w:p>
      <w:pPr>
        <w:pStyle w:val="30"/>
        <w:rPr>
          <w:rFonts w:hint="eastAsia" w:ascii="宋体" w:hAnsi="宋体"/>
          <w:bCs/>
          <w:color w:val="auto"/>
          <w:sz w:val="24"/>
          <w:highlight w:val="none"/>
        </w:rPr>
      </w:pPr>
    </w:p>
    <w:p>
      <w:pPr>
        <w:pStyle w:val="30"/>
        <w:rPr>
          <w:rFonts w:hint="eastAsia" w:ascii="宋体" w:hAnsi="宋体"/>
          <w:bCs/>
          <w:color w:val="auto"/>
          <w:sz w:val="24"/>
          <w:highlight w:val="none"/>
        </w:rPr>
      </w:pPr>
    </w:p>
    <w:p>
      <w:pPr>
        <w:pStyle w:val="30"/>
        <w:rPr>
          <w:rFonts w:hint="eastAsia" w:ascii="宋体" w:hAnsi="宋体"/>
          <w:bCs/>
          <w:color w:val="auto"/>
          <w:sz w:val="24"/>
          <w:highlight w:val="none"/>
        </w:rPr>
      </w:pPr>
    </w:p>
    <w:p>
      <w:pPr>
        <w:pStyle w:val="30"/>
        <w:rPr>
          <w:rFonts w:hint="eastAsia" w:ascii="宋体" w:hAnsi="宋体"/>
          <w:bCs/>
          <w:color w:val="auto"/>
          <w:sz w:val="24"/>
          <w:highlight w:val="none"/>
        </w:rPr>
      </w:pPr>
    </w:p>
    <w:p>
      <w:pPr>
        <w:pStyle w:val="30"/>
        <w:rPr>
          <w:rFonts w:hint="eastAsia" w:ascii="宋体" w:hAnsi="宋体"/>
          <w:bCs/>
          <w:color w:val="auto"/>
          <w:sz w:val="24"/>
          <w:highlight w:val="none"/>
        </w:rPr>
      </w:pPr>
    </w:p>
    <w:p>
      <w:pPr>
        <w:pStyle w:val="30"/>
        <w:rPr>
          <w:rFonts w:hint="eastAsia" w:ascii="宋体" w:hAnsi="宋体"/>
          <w:bCs/>
          <w:color w:val="auto"/>
          <w:sz w:val="24"/>
          <w:highlight w:val="none"/>
        </w:rPr>
      </w:pPr>
    </w:p>
    <w:p>
      <w:pPr>
        <w:pStyle w:val="30"/>
        <w:rPr>
          <w:rFonts w:hint="eastAsia" w:ascii="宋体" w:hAnsi="宋体"/>
          <w:bCs/>
          <w:color w:val="auto"/>
          <w:sz w:val="24"/>
          <w:highlight w:val="none"/>
        </w:rPr>
      </w:pPr>
    </w:p>
    <w:p>
      <w:pPr>
        <w:pStyle w:val="30"/>
        <w:rPr>
          <w:rFonts w:hint="eastAsia" w:ascii="宋体" w:hAnsi="宋体"/>
          <w:bCs/>
          <w:color w:val="auto"/>
          <w:sz w:val="24"/>
          <w:highlight w:val="none"/>
        </w:rPr>
      </w:pPr>
    </w:p>
    <w:p>
      <w:pPr>
        <w:pStyle w:val="30"/>
        <w:rPr>
          <w:rFonts w:hint="eastAsia" w:ascii="宋体" w:hAnsi="宋体"/>
          <w:bCs/>
          <w:color w:val="auto"/>
          <w:sz w:val="24"/>
          <w:highlight w:val="none"/>
        </w:rPr>
      </w:pPr>
    </w:p>
    <w:p>
      <w:pPr>
        <w:pStyle w:val="30"/>
        <w:rPr>
          <w:rFonts w:hint="eastAsia" w:ascii="宋体" w:hAnsi="宋体"/>
          <w:bCs/>
          <w:color w:val="auto"/>
          <w:sz w:val="24"/>
          <w:highlight w:val="none"/>
        </w:rPr>
      </w:pPr>
    </w:p>
    <w:p>
      <w:pPr>
        <w:pStyle w:val="30"/>
        <w:rPr>
          <w:rFonts w:hint="eastAsia" w:ascii="宋体" w:hAnsi="宋体"/>
          <w:bCs/>
          <w:color w:val="auto"/>
          <w:sz w:val="24"/>
          <w:highlight w:val="none"/>
        </w:rPr>
      </w:pPr>
    </w:p>
    <w:p>
      <w:pPr>
        <w:pStyle w:val="30"/>
        <w:rPr>
          <w:rFonts w:hint="eastAsia" w:ascii="宋体" w:hAnsi="宋体"/>
          <w:bCs/>
          <w:color w:val="auto"/>
          <w:sz w:val="24"/>
          <w:highlight w:val="none"/>
        </w:rPr>
      </w:pPr>
    </w:p>
    <w:p>
      <w:pPr>
        <w:pStyle w:val="30"/>
        <w:ind w:left="0" w:leftChars="0" w:firstLine="0" w:firstLineChars="0"/>
        <w:rPr>
          <w:rFonts w:hint="eastAsia" w:ascii="宋体" w:hAnsi="宋体" w:eastAsia="宋体"/>
          <w:bCs/>
          <w:color w:val="auto"/>
          <w:sz w:val="24"/>
          <w:highlight w:val="none"/>
          <w:lang w:val="en-US" w:eastAsia="zh-CN"/>
        </w:rPr>
      </w:pPr>
    </w:p>
    <w:p>
      <w:pPr>
        <w:spacing w:line="500" w:lineRule="exact"/>
        <w:jc w:val="center"/>
        <w:rPr>
          <w:color w:val="auto"/>
          <w:sz w:val="18"/>
          <w:szCs w:val="20"/>
          <w:highlight w:val="none"/>
        </w:rPr>
      </w:pPr>
      <w:r>
        <w:rPr>
          <w:rFonts w:hint="eastAsia" w:ascii="华文中宋" w:hAnsi="华文中宋" w:eastAsia="华文中宋"/>
          <w:color w:val="auto"/>
          <w:sz w:val="36"/>
          <w:szCs w:val="36"/>
          <w:highlight w:val="none"/>
        </w:rPr>
        <w:t>供应商信用承诺书</w:t>
      </w:r>
    </w:p>
    <w:p>
      <w:pPr>
        <w:spacing w:line="5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承诺主体名称：</w:t>
      </w:r>
    </w:p>
    <w:p>
      <w:pPr>
        <w:spacing w:line="5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为维护公平竞争、规范有序的市场秩序，营造诚实守信的信用环境，共同推进社会信用体系建设完善，树立企业诚信守法形象，本企业对________________________项目政府采购活动郑重承诺如下:</w:t>
      </w:r>
    </w:p>
    <w:p>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一、对提供给注册登记部门、行业管理部门、司法部门、行业组织以及在政府采购活动中提交的所有资料的合法性、真实性、准确性和有效性负责；</w:t>
      </w:r>
    </w:p>
    <w:p>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二、严格按照国家法律、法规和规章开展采购活动，全面履行应尽的责任和义务，全面做到履约守信，具备《中华人民共和国政府采购法》第二十二条第一款规定的条件;</w:t>
      </w:r>
    </w:p>
    <w:p>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三、严格依法开展生产经营活动，主动接受行业监管，自愿接受依法开展的日常检查；违法失信经营后将自愿接受约束和惩戒，并依法承担相应责任；</w:t>
      </w:r>
    </w:p>
    <w:p>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四、自觉接受行政管理部门、行业组织、社会公众、新闻舆论的监督；</w:t>
      </w:r>
    </w:p>
    <w:p>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五、自觉做到自我约束、自我管理，不制假售假、商标侵权、虚假宣传、违约毁约、恶意逃债、偷税漏税、垄断和不正当竞争，维护经营者、消费者的合法权益；</w:t>
      </w:r>
    </w:p>
    <w:p>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六、提出政府采购质疑和投诉坚持依法依规、诚实信用原则，在全国范围12个月内没有三次以上查无实据的政府采购投诉；</w:t>
      </w:r>
    </w:p>
    <w:p>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七、严格遵守信用信息公示相关规定，向社会公示信用信息；</w:t>
      </w:r>
    </w:p>
    <w:p>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八、在“信用中国”和“中国政府采购网”网站中无违法违规、较重或严重失信记录；</w:t>
      </w:r>
    </w:p>
    <w:p>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九、如违反承诺，自愿接受管理部门依法给予的行政处罚，同意将违反承诺的行为作为不良记录记入信用档案，依法依规进行信息公示，并承担所产生的一切法律责任和经济损失。</w:t>
      </w:r>
    </w:p>
    <w:p>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十、本承诺书自签订之日起生效。</w:t>
      </w:r>
    </w:p>
    <w:p>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（注：法定代表人或负责人、主体名称发生变更的应当重新做出承诺。）</w:t>
      </w:r>
    </w:p>
    <w:p>
      <w:pPr>
        <w:spacing w:line="560" w:lineRule="exact"/>
        <w:rPr>
          <w:rFonts w:hint="eastAsia" w:ascii="宋体" w:hAnsi="宋体" w:eastAsia="宋体" w:cs="宋体"/>
          <w:color w:val="auto"/>
          <w:sz w:val="21"/>
          <w:szCs w:val="21"/>
          <w:highlight w:val="none"/>
        </w:rPr>
      </w:pPr>
    </w:p>
    <w:p>
      <w:pPr>
        <w:spacing w:line="5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default"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rPr>
        <w:t xml:space="preserve">承诺单位（签章）：           </w:t>
      </w:r>
    </w:p>
    <w:p>
      <w:pPr>
        <w:spacing w:line="5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法定代表人（负责人）：</w:t>
      </w:r>
    </w:p>
    <w:p>
      <w:pPr>
        <w:spacing w:line="560" w:lineRule="exact"/>
        <w:jc w:val="center"/>
        <w:rPr>
          <w:rFonts w:hint="eastAsia" w:ascii="宋体" w:hAnsi="宋体"/>
          <w:color w:val="auto"/>
          <w:szCs w:val="21"/>
          <w:highlight w:val="none"/>
        </w:rPr>
      </w:pPr>
      <w:r>
        <w:rPr>
          <w:rFonts w:hint="eastAsia" w:ascii="宋体" w:hAnsi="宋体" w:eastAsia="宋体" w:cs="宋体"/>
          <w:color w:val="auto"/>
          <w:sz w:val="21"/>
          <w:szCs w:val="21"/>
          <w:highlight w:val="none"/>
        </w:rPr>
        <w:t>　　　　　　　　　      　年    月    日</w:t>
      </w:r>
    </w:p>
    <w:p>
      <w:pPr>
        <w:spacing w:line="400" w:lineRule="exact"/>
        <w:ind w:firstLine="420" w:firstLineChars="200"/>
        <w:rPr>
          <w:rFonts w:hint="eastAsia" w:ascii="宋体" w:hAnsi="宋体"/>
          <w:color w:val="auto"/>
          <w:szCs w:val="21"/>
          <w:highlight w:val="none"/>
        </w:rPr>
      </w:pPr>
    </w:p>
    <w:p>
      <w:pPr>
        <w:spacing w:line="360" w:lineRule="auto"/>
        <w:jc w:val="center"/>
        <w:rPr>
          <w:rFonts w:hint="eastAsia" w:ascii="宋体" w:hAnsi="宋体" w:cs="宋体"/>
          <w:color w:val="auto"/>
          <w:szCs w:val="21"/>
          <w:highlight w:val="none"/>
        </w:rPr>
      </w:pPr>
      <w:r>
        <w:rPr>
          <w:rFonts w:hint="eastAsia" w:ascii="宋体" w:hAnsi="宋体" w:cs="宋体"/>
          <w:b/>
          <w:color w:val="auto"/>
          <w:sz w:val="24"/>
          <w:szCs w:val="24"/>
          <w:highlight w:val="none"/>
        </w:rPr>
        <w:t>三、磋商响应报价表</w:t>
      </w:r>
    </w:p>
    <w:p>
      <w:pPr>
        <w:pStyle w:val="12"/>
        <w:spacing w:line="360" w:lineRule="auto"/>
        <w:rPr>
          <w:rFonts w:hint="eastAsia" w:ascii="宋体" w:hAnsi="宋体" w:cs="宋体"/>
          <w:color w:val="auto"/>
          <w:szCs w:val="21"/>
          <w:highlight w:val="none"/>
        </w:rPr>
      </w:pPr>
    </w:p>
    <w:p>
      <w:pPr>
        <w:pStyle w:val="12"/>
        <w:spacing w:line="360" w:lineRule="auto"/>
        <w:ind w:firstLine="360" w:firstLineChars="150"/>
        <w:rPr>
          <w:rFonts w:hint="eastAsia" w:ascii="宋体" w:hAnsi="宋体" w:cs="宋体"/>
          <w:color w:val="auto"/>
          <w:szCs w:val="21"/>
          <w:highlight w:val="none"/>
        </w:rPr>
      </w:pPr>
      <w:r>
        <w:rPr>
          <w:rFonts w:hint="eastAsia" w:ascii="宋体" w:hAnsi="宋体" w:cs="宋体"/>
          <w:color w:val="auto"/>
          <w:szCs w:val="21"/>
          <w:highlight w:val="none"/>
        </w:rPr>
        <w:t xml:space="preserve">项目名称： </w:t>
      </w:r>
    </w:p>
    <w:p>
      <w:pPr>
        <w:spacing w:line="360" w:lineRule="auto"/>
        <w:ind w:firstLine="360" w:firstLineChars="150"/>
        <w:rPr>
          <w:rFonts w:hint="eastAsia" w:ascii="宋体" w:hAnsi="宋体" w:cs="宋体"/>
          <w:color w:val="auto"/>
          <w:szCs w:val="21"/>
          <w:highlight w:val="none"/>
        </w:rPr>
      </w:pPr>
      <w:r>
        <w:rPr>
          <w:rFonts w:hint="eastAsia" w:ascii="宋体" w:hAnsi="宋体" w:cs="宋体"/>
          <w:color w:val="auto"/>
          <w:kern w:val="0"/>
          <w:sz w:val="24"/>
          <w:szCs w:val="21"/>
          <w:highlight w:val="none"/>
        </w:rPr>
        <w:t>项目编号：</w:t>
      </w:r>
      <w:r>
        <w:rPr>
          <w:rFonts w:hint="eastAsia" w:ascii="宋体" w:hAnsi="宋体" w:cs="宋体"/>
          <w:color w:val="auto"/>
          <w:szCs w:val="21"/>
          <w:highlight w:val="none"/>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8"/>
        <w:gridCol w:w="6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2338" w:type="dxa"/>
            <w:tcBorders>
              <w:top w:val="single" w:color="auto" w:sz="4" w:space="0"/>
              <w:left w:val="single" w:color="auto" w:sz="4" w:space="0"/>
              <w:bottom w:val="single" w:color="auto" w:sz="4" w:space="0"/>
              <w:right w:val="single" w:color="auto" w:sz="4" w:space="0"/>
            </w:tcBorders>
            <w:noWrap w:val="0"/>
            <w:vAlign w:val="center"/>
          </w:tcPr>
          <w:p>
            <w:pPr>
              <w:pStyle w:val="8"/>
              <w:adjustRightInd w:val="0"/>
              <w:snapToGrid w:val="0"/>
              <w:spacing w:line="30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服务项目名称</w:t>
            </w:r>
          </w:p>
        </w:tc>
        <w:tc>
          <w:tcPr>
            <w:tcW w:w="60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hint="eastAsia" w:ascii="宋体" w:hAnsi="宋体" w:cs="宋体"/>
                <w:color w:val="auto"/>
                <w:szCs w:val="21"/>
                <w:highlight w:val="none"/>
              </w:rPr>
            </w:pPr>
            <w:r>
              <w:rPr>
                <w:rFonts w:hint="eastAsia" w:ascii="宋体" w:hAnsi="宋体" w:cs="宋体"/>
                <w:color w:val="auto"/>
                <w:szCs w:val="21"/>
                <w:highlight w:val="none"/>
              </w:rPr>
              <w:t>磋商总报价（第一轮）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jc w:val="center"/>
        </w:trPr>
        <w:tc>
          <w:tcPr>
            <w:tcW w:w="2338" w:type="dxa"/>
            <w:tcBorders>
              <w:top w:val="single" w:color="auto" w:sz="4" w:space="0"/>
              <w:left w:val="single" w:color="auto" w:sz="4" w:space="0"/>
              <w:bottom w:val="single" w:color="auto" w:sz="4" w:space="0"/>
              <w:right w:val="single" w:color="auto" w:sz="4" w:space="0"/>
            </w:tcBorders>
            <w:noWrap w:val="0"/>
            <w:vAlign w:val="center"/>
          </w:tcPr>
          <w:p>
            <w:pPr>
              <w:pStyle w:val="8"/>
              <w:adjustRightInd w:val="0"/>
              <w:snapToGrid w:val="0"/>
              <w:spacing w:line="300" w:lineRule="auto"/>
              <w:rPr>
                <w:rFonts w:hint="eastAsia" w:ascii="宋体" w:hAnsi="宋体" w:eastAsia="宋体" w:cs="宋体"/>
                <w:color w:val="auto"/>
                <w:kern w:val="2"/>
                <w:sz w:val="21"/>
                <w:szCs w:val="21"/>
                <w:highlight w:val="none"/>
              </w:rPr>
            </w:pPr>
          </w:p>
        </w:tc>
        <w:tc>
          <w:tcPr>
            <w:tcW w:w="6037" w:type="dxa"/>
            <w:tcBorders>
              <w:top w:val="single" w:color="auto" w:sz="4" w:space="0"/>
              <w:left w:val="single" w:color="auto" w:sz="4" w:space="0"/>
              <w:bottom w:val="single" w:color="auto" w:sz="4" w:space="0"/>
              <w:right w:val="single" w:color="auto" w:sz="4" w:space="0"/>
            </w:tcBorders>
            <w:noWrap w:val="0"/>
            <w:vAlign w:val="center"/>
          </w:tcPr>
          <w:p>
            <w:pPr>
              <w:pStyle w:val="8"/>
              <w:adjustRightInd w:val="0"/>
              <w:snapToGrid w:val="0"/>
              <w:spacing w:line="30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大写：</w:t>
            </w:r>
          </w:p>
          <w:p>
            <w:pPr>
              <w:pStyle w:val="37"/>
              <w:spacing w:before="0" w:after="0" w:line="500" w:lineRule="exact"/>
              <w:ind w:firstLine="0"/>
              <w:rPr>
                <w:rFonts w:hint="eastAsia" w:ascii="宋体" w:hAnsi="宋体" w:cs="宋体"/>
                <w:color w:val="auto"/>
                <w:kern w:val="2"/>
                <w:sz w:val="21"/>
                <w:szCs w:val="21"/>
                <w:highlight w:val="none"/>
              </w:rPr>
            </w:pPr>
            <w:r>
              <w:rPr>
                <w:rFonts w:hint="eastAsia" w:ascii="宋体" w:hAnsi="宋体" w:cs="宋体"/>
                <w:color w:val="auto"/>
                <w:sz w:val="21"/>
                <w:szCs w:val="21"/>
                <w:highlight w:val="none"/>
              </w:rPr>
              <w:t>小写：                             （人民币）</w:t>
            </w:r>
          </w:p>
        </w:tc>
      </w:tr>
    </w:tbl>
    <w:p>
      <w:pPr>
        <w:spacing w:line="360" w:lineRule="auto"/>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法定代表人或者授权代表（签字或盖章）：                    </w:t>
      </w:r>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磋商供应商全称（盖章）：</w:t>
      </w:r>
      <w:r>
        <w:rPr>
          <w:rFonts w:hint="eastAsia" w:ascii="宋体" w:hAnsi="宋体" w:cs="宋体"/>
          <w:color w:val="auto"/>
          <w:szCs w:val="21"/>
          <w:highlight w:val="none"/>
          <w:u w:val="single"/>
        </w:rPr>
        <w:t xml:space="preserve">                         </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pPr>
        <w:spacing w:line="360" w:lineRule="auto"/>
        <w:jc w:val="left"/>
        <w:rPr>
          <w:rFonts w:hint="eastAsia" w:ascii="宋体" w:hAnsi="宋体"/>
          <w:b/>
          <w:color w:val="auto"/>
          <w:szCs w:val="21"/>
          <w:highlight w:val="none"/>
        </w:rPr>
      </w:pPr>
      <w:r>
        <w:rPr>
          <w:rFonts w:hint="eastAsia" w:ascii="宋体" w:hAnsi="宋体"/>
          <w:b/>
          <w:color w:val="auto"/>
          <w:szCs w:val="21"/>
          <w:highlight w:val="none"/>
        </w:rPr>
        <w:t>备注：</w:t>
      </w:r>
      <w:r>
        <w:rPr>
          <w:rFonts w:hint="eastAsia" w:ascii="宋体" w:hAnsi="宋体"/>
          <w:i/>
          <w:color w:val="auto"/>
          <w:szCs w:val="21"/>
          <w:highlight w:val="none"/>
        </w:rPr>
        <w:t>1、</w:t>
      </w:r>
      <w:r>
        <w:rPr>
          <w:rFonts w:hint="eastAsia" w:ascii="宋体" w:hAnsi="宋体"/>
          <w:b/>
          <w:bCs/>
          <w:i/>
          <w:iCs/>
          <w:color w:val="auto"/>
          <w:szCs w:val="21"/>
          <w:highlight w:val="none"/>
          <w:u w:val="single"/>
        </w:rPr>
        <w:t>磋商响应报价表</w:t>
      </w:r>
      <w:r>
        <w:rPr>
          <w:rFonts w:hint="eastAsia" w:ascii="宋体" w:hAnsi="宋体"/>
          <w:b/>
          <w:i/>
          <w:color w:val="auto"/>
          <w:szCs w:val="21"/>
          <w:highlight w:val="none"/>
          <w:u w:val="single"/>
        </w:rPr>
        <w:t>除投标响应文件外，单独备一</w:t>
      </w:r>
      <w:r>
        <w:rPr>
          <w:rFonts w:hint="eastAsia" w:ascii="宋体" w:hAnsi="宋体"/>
          <w:b/>
          <w:bCs w:val="0"/>
          <w:i/>
          <w:color w:val="auto"/>
          <w:szCs w:val="21"/>
          <w:highlight w:val="none"/>
          <w:u w:val="single"/>
        </w:rPr>
        <w:t>份密封在投标截止时间前与投标文件分别递交。</w:t>
      </w:r>
    </w:p>
    <w:p>
      <w:pPr>
        <w:spacing w:line="360" w:lineRule="auto"/>
        <w:jc w:val="left"/>
        <w:rPr>
          <w:rFonts w:hint="eastAsia" w:ascii="宋体" w:hAnsi="宋体"/>
          <w:i/>
          <w:color w:val="auto"/>
          <w:szCs w:val="21"/>
          <w:highlight w:val="none"/>
        </w:rPr>
      </w:pPr>
      <w:r>
        <w:rPr>
          <w:rFonts w:hint="eastAsia" w:ascii="宋体" w:hAnsi="宋体"/>
          <w:i/>
          <w:color w:val="auto"/>
          <w:szCs w:val="21"/>
          <w:highlight w:val="none"/>
        </w:rPr>
        <w:t>2、</w:t>
      </w:r>
      <w:r>
        <w:rPr>
          <w:rFonts w:hint="eastAsia" w:ascii="宋体" w:hAnsi="宋体"/>
          <w:b/>
          <w:bCs/>
          <w:i/>
          <w:iCs/>
          <w:color w:val="auto"/>
          <w:szCs w:val="21"/>
          <w:highlight w:val="none"/>
          <w:u w:val="single"/>
        </w:rPr>
        <w:t>磋商响应报价表必须加盖</w:t>
      </w:r>
      <w:r>
        <w:rPr>
          <w:rFonts w:hint="eastAsia" w:ascii="宋体" w:hAnsi="宋体"/>
          <w:b/>
          <w:bCs/>
          <w:i/>
          <w:iCs/>
          <w:color w:val="auto"/>
          <w:szCs w:val="21"/>
          <w:highlight w:val="none"/>
          <w:u w:val="single"/>
          <w:lang w:eastAsia="zh-CN"/>
        </w:rPr>
        <w:t>供应商</w:t>
      </w:r>
      <w:r>
        <w:rPr>
          <w:rFonts w:hint="eastAsia" w:ascii="宋体" w:hAnsi="宋体"/>
          <w:b/>
          <w:bCs/>
          <w:i/>
          <w:iCs/>
          <w:color w:val="auto"/>
          <w:szCs w:val="21"/>
          <w:highlight w:val="none"/>
          <w:u w:val="single"/>
        </w:rPr>
        <w:t>公章（复印件无效）</w:t>
      </w:r>
      <w:r>
        <w:rPr>
          <w:rFonts w:hint="eastAsia" w:ascii="宋体" w:hAnsi="宋体"/>
          <w:b/>
          <w:i/>
          <w:color w:val="auto"/>
          <w:szCs w:val="21"/>
          <w:highlight w:val="none"/>
        </w:rPr>
        <w:t>。</w:t>
      </w:r>
    </w:p>
    <w:p>
      <w:pPr>
        <w:spacing w:line="360" w:lineRule="auto"/>
        <w:rPr>
          <w:rFonts w:hint="eastAsia" w:ascii="宋体" w:hAnsi="宋体"/>
          <w:color w:val="auto"/>
          <w:szCs w:val="21"/>
          <w:highlight w:val="none"/>
        </w:rPr>
      </w:pPr>
      <w:r>
        <w:rPr>
          <w:rFonts w:hint="eastAsia" w:ascii="宋体" w:hAnsi="宋体"/>
          <w:color w:val="auto"/>
          <w:szCs w:val="21"/>
          <w:highlight w:val="none"/>
        </w:rPr>
        <w:t>3、此表可以根据需要自行增减行数，且</w:t>
      </w:r>
      <w:r>
        <w:rPr>
          <w:rFonts w:hint="eastAsia" w:ascii="宋体" w:hAnsi="宋体"/>
          <w:b/>
          <w:color w:val="auto"/>
          <w:szCs w:val="21"/>
          <w:highlight w:val="none"/>
        </w:rPr>
        <w:t>该表报价非本次磋商中的最后报价</w:t>
      </w:r>
      <w:r>
        <w:rPr>
          <w:rFonts w:hint="eastAsia" w:ascii="宋体" w:hAnsi="宋体"/>
          <w:color w:val="auto"/>
          <w:szCs w:val="21"/>
          <w:highlight w:val="none"/>
        </w:rPr>
        <w:t>。</w:t>
      </w:r>
    </w:p>
    <w:p>
      <w:pPr>
        <w:spacing w:line="360" w:lineRule="auto"/>
        <w:rPr>
          <w:rFonts w:ascii="宋体" w:hAnsi="宋体"/>
          <w:b/>
          <w:bCs/>
          <w:color w:val="auto"/>
          <w:szCs w:val="21"/>
          <w:highlight w:val="none"/>
        </w:rPr>
      </w:pPr>
    </w:p>
    <w:p>
      <w:pPr>
        <w:spacing w:line="360" w:lineRule="auto"/>
        <w:jc w:val="center"/>
        <w:rPr>
          <w:rFonts w:hint="eastAsia" w:ascii="宋体" w:hAnsi="宋体"/>
          <w:b/>
          <w:color w:val="auto"/>
          <w:szCs w:val="21"/>
          <w:highlight w:val="none"/>
        </w:rPr>
      </w:pPr>
    </w:p>
    <w:p>
      <w:pPr>
        <w:pStyle w:val="30"/>
        <w:rPr>
          <w:rFonts w:hint="eastAsia" w:ascii="宋体" w:hAnsi="宋体"/>
          <w:b/>
          <w:color w:val="auto"/>
          <w:szCs w:val="21"/>
          <w:highlight w:val="none"/>
        </w:rPr>
      </w:pPr>
    </w:p>
    <w:p>
      <w:pPr>
        <w:pStyle w:val="30"/>
        <w:rPr>
          <w:rFonts w:hint="eastAsia" w:ascii="宋体" w:hAnsi="宋体"/>
          <w:b/>
          <w:color w:val="auto"/>
          <w:szCs w:val="21"/>
          <w:highlight w:val="none"/>
        </w:rPr>
      </w:pPr>
    </w:p>
    <w:p>
      <w:pPr>
        <w:pStyle w:val="30"/>
        <w:rPr>
          <w:rFonts w:hint="eastAsia" w:ascii="宋体" w:hAnsi="宋体"/>
          <w:b/>
          <w:color w:val="auto"/>
          <w:szCs w:val="21"/>
          <w:highlight w:val="none"/>
        </w:rPr>
      </w:pPr>
    </w:p>
    <w:p>
      <w:pPr>
        <w:pStyle w:val="30"/>
        <w:rPr>
          <w:rFonts w:hint="eastAsia" w:ascii="宋体" w:hAnsi="宋体"/>
          <w:b/>
          <w:color w:val="auto"/>
          <w:szCs w:val="21"/>
          <w:highlight w:val="none"/>
        </w:rPr>
      </w:pPr>
    </w:p>
    <w:p>
      <w:pPr>
        <w:pStyle w:val="30"/>
        <w:rPr>
          <w:rFonts w:hint="eastAsia" w:ascii="宋体" w:hAnsi="宋体"/>
          <w:b/>
          <w:color w:val="auto"/>
          <w:szCs w:val="21"/>
          <w:highlight w:val="none"/>
        </w:rPr>
      </w:pPr>
    </w:p>
    <w:p>
      <w:pPr>
        <w:pStyle w:val="30"/>
        <w:rPr>
          <w:rFonts w:hint="eastAsia" w:ascii="宋体" w:hAnsi="宋体"/>
          <w:b/>
          <w:color w:val="auto"/>
          <w:szCs w:val="21"/>
          <w:highlight w:val="none"/>
        </w:rPr>
      </w:pPr>
    </w:p>
    <w:p>
      <w:pPr>
        <w:pStyle w:val="30"/>
        <w:rPr>
          <w:rFonts w:hint="eastAsia" w:ascii="宋体" w:hAnsi="宋体"/>
          <w:b/>
          <w:color w:val="auto"/>
          <w:szCs w:val="21"/>
          <w:highlight w:val="none"/>
        </w:rPr>
      </w:pPr>
    </w:p>
    <w:p>
      <w:pPr>
        <w:pStyle w:val="30"/>
        <w:rPr>
          <w:rFonts w:hint="eastAsia" w:ascii="宋体" w:hAnsi="宋体"/>
          <w:b/>
          <w:color w:val="auto"/>
          <w:szCs w:val="21"/>
          <w:highlight w:val="none"/>
        </w:rPr>
      </w:pPr>
    </w:p>
    <w:p>
      <w:pPr>
        <w:pStyle w:val="30"/>
        <w:rPr>
          <w:rFonts w:hint="eastAsia" w:ascii="宋体" w:hAnsi="宋体"/>
          <w:b/>
          <w:color w:val="auto"/>
          <w:szCs w:val="21"/>
          <w:highlight w:val="none"/>
        </w:rPr>
      </w:pPr>
    </w:p>
    <w:p>
      <w:pPr>
        <w:pStyle w:val="30"/>
        <w:rPr>
          <w:rFonts w:hint="eastAsia" w:ascii="宋体" w:hAnsi="宋体"/>
          <w:b/>
          <w:color w:val="auto"/>
          <w:szCs w:val="21"/>
          <w:highlight w:val="none"/>
        </w:rPr>
      </w:pPr>
    </w:p>
    <w:p>
      <w:pPr>
        <w:pStyle w:val="30"/>
        <w:rPr>
          <w:rFonts w:hint="eastAsia" w:ascii="宋体" w:hAnsi="宋体"/>
          <w:b/>
          <w:color w:val="auto"/>
          <w:szCs w:val="21"/>
          <w:highlight w:val="none"/>
        </w:rPr>
      </w:pPr>
    </w:p>
    <w:p>
      <w:pPr>
        <w:pStyle w:val="30"/>
        <w:rPr>
          <w:rFonts w:hint="eastAsia" w:ascii="宋体" w:hAnsi="宋体"/>
          <w:b/>
          <w:color w:val="auto"/>
          <w:szCs w:val="21"/>
          <w:highlight w:val="none"/>
        </w:rPr>
      </w:pPr>
    </w:p>
    <w:p>
      <w:pPr>
        <w:pStyle w:val="30"/>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pStyle w:val="30"/>
        <w:rPr>
          <w:rFonts w:hint="eastAsia"/>
          <w:color w:val="auto"/>
          <w:highlight w:val="none"/>
        </w:rPr>
      </w:pPr>
    </w:p>
    <w:p>
      <w:pPr>
        <w:spacing w:line="360" w:lineRule="auto"/>
        <w:jc w:val="center"/>
        <w:rPr>
          <w:rFonts w:hint="eastAsia" w:ascii="宋体" w:hAnsi="宋体"/>
          <w:b/>
          <w:color w:val="auto"/>
          <w:szCs w:val="21"/>
          <w:highlight w:val="none"/>
        </w:rPr>
      </w:pPr>
    </w:p>
    <w:p>
      <w:pPr>
        <w:spacing w:after="312" w:afterLines="100" w:line="360" w:lineRule="auto"/>
        <w:jc w:val="center"/>
        <w:rPr>
          <w:rFonts w:hint="eastAsia" w:ascii="宋体" w:hAnsi="宋体"/>
          <w:b/>
          <w:color w:val="auto"/>
          <w:sz w:val="24"/>
          <w:szCs w:val="24"/>
          <w:highlight w:val="none"/>
        </w:rPr>
      </w:pPr>
      <w:r>
        <w:rPr>
          <w:rFonts w:hint="eastAsia" w:ascii="宋体" w:hAnsi="宋体"/>
          <w:b/>
          <w:color w:val="auto"/>
          <w:sz w:val="24"/>
          <w:szCs w:val="24"/>
          <w:highlight w:val="none"/>
        </w:rPr>
        <w:t>四、分项报价表</w:t>
      </w:r>
    </w:p>
    <w:p>
      <w:pPr>
        <w:ind w:firstLine="210" w:firstLineChars="100"/>
        <w:rPr>
          <w:rFonts w:hint="eastAsia" w:ascii="宋体" w:hAnsi="宋体"/>
          <w:color w:val="auto"/>
          <w:szCs w:val="21"/>
          <w:highlight w:val="none"/>
        </w:rPr>
      </w:pPr>
    </w:p>
    <w:p>
      <w:pPr>
        <w:ind w:firstLine="210" w:firstLineChars="100"/>
        <w:rPr>
          <w:rFonts w:hint="eastAsia" w:ascii="宋体" w:hAnsi="宋体"/>
          <w:color w:val="auto"/>
          <w:szCs w:val="21"/>
          <w:highlight w:val="none"/>
        </w:rPr>
      </w:pPr>
      <w:r>
        <w:rPr>
          <w:rFonts w:hint="eastAsia" w:ascii="宋体" w:hAnsi="宋体" w:cs="宋体"/>
          <w:color w:val="auto"/>
          <w:szCs w:val="21"/>
          <w:highlight w:val="none"/>
        </w:rPr>
        <w:t>供应商</w:t>
      </w:r>
      <w:r>
        <w:rPr>
          <w:rFonts w:hint="eastAsia" w:ascii="宋体" w:hAnsi="宋体"/>
          <w:color w:val="auto"/>
          <w:szCs w:val="21"/>
          <w:highlight w:val="none"/>
        </w:rPr>
        <w:t>全称（加盖公章）：</w:t>
      </w:r>
    </w:p>
    <w:p>
      <w:pPr>
        <w:pStyle w:val="30"/>
        <w:ind w:firstLine="420"/>
        <w:rPr>
          <w:color w:val="auto"/>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3"/>
        <w:gridCol w:w="250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9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r>
              <w:rPr>
                <w:rFonts w:hint="eastAsia" w:ascii="宋体" w:hAnsi="宋体"/>
                <w:color w:val="auto"/>
                <w:highlight w:val="none"/>
              </w:rPr>
              <w:t>1</w:t>
            </w:r>
          </w:p>
        </w:tc>
        <w:tc>
          <w:tcPr>
            <w:tcW w:w="250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r>
              <w:rPr>
                <w:rFonts w:hint="eastAsia" w:ascii="宋体" w:hAnsi="宋体"/>
                <w:color w:val="auto"/>
                <w:highlight w:val="none"/>
              </w:rPr>
              <w:t>2</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r>
              <w:rPr>
                <w:rFonts w:hint="eastAsia" w:ascii="宋体" w:hAnsi="宋体"/>
                <w:color w:val="auto"/>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9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r>
              <w:rPr>
                <w:rFonts w:hint="eastAsia" w:ascii="宋体" w:hAnsi="宋体"/>
                <w:color w:val="auto"/>
                <w:highlight w:val="none"/>
              </w:rPr>
              <w:t>服务分项</w:t>
            </w:r>
          </w:p>
        </w:tc>
        <w:tc>
          <w:tcPr>
            <w:tcW w:w="250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r>
              <w:rPr>
                <w:rFonts w:hint="eastAsia" w:ascii="宋体" w:hAnsi="宋体"/>
                <w:color w:val="auto"/>
                <w:highlight w:val="none"/>
              </w:rPr>
              <w:t>单价</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r>
              <w:rPr>
                <w:rFonts w:hint="eastAsia" w:ascii="宋体" w:hAnsi="宋体"/>
                <w:color w:val="auto"/>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9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p>
        </w:tc>
        <w:tc>
          <w:tcPr>
            <w:tcW w:w="250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9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p>
        </w:tc>
        <w:tc>
          <w:tcPr>
            <w:tcW w:w="250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9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p>
        </w:tc>
        <w:tc>
          <w:tcPr>
            <w:tcW w:w="250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9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p>
        </w:tc>
        <w:tc>
          <w:tcPr>
            <w:tcW w:w="250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99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r>
              <w:rPr>
                <w:rFonts w:hint="eastAsia" w:ascii="宋体" w:hAnsi="宋体"/>
                <w:color w:val="auto"/>
                <w:highlight w:val="none"/>
              </w:rPr>
              <w:t>合计</w:t>
            </w:r>
          </w:p>
        </w:tc>
        <w:tc>
          <w:tcPr>
            <w:tcW w:w="519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r>
    </w:tbl>
    <w:p>
      <w:pPr>
        <w:rPr>
          <w:rFonts w:ascii="宋体" w:hAnsi="宋体"/>
          <w:color w:val="auto"/>
          <w:szCs w:val="21"/>
          <w:highlight w:val="none"/>
        </w:rPr>
      </w:pPr>
    </w:p>
    <w:p>
      <w:pPr>
        <w:ind w:firstLine="420" w:firstLineChars="200"/>
        <w:rPr>
          <w:rFonts w:ascii="宋体" w:hAnsi="宋体"/>
          <w:color w:val="auto"/>
          <w:szCs w:val="21"/>
          <w:highlight w:val="none"/>
        </w:rPr>
      </w:pPr>
      <w:r>
        <w:rPr>
          <w:rFonts w:hint="eastAsia" w:ascii="宋体" w:hAnsi="宋体"/>
          <w:color w:val="auto"/>
          <w:szCs w:val="21"/>
          <w:highlight w:val="none"/>
        </w:rPr>
        <w:t>法定代表人或授权代表签字：</w:t>
      </w:r>
    </w:p>
    <w:p>
      <w:pPr>
        <w:spacing w:line="460" w:lineRule="exact"/>
        <w:rPr>
          <w:rFonts w:ascii="宋体" w:hAnsi="宋体"/>
          <w:bCs/>
          <w:color w:val="auto"/>
          <w:sz w:val="24"/>
          <w:highlight w:val="none"/>
        </w:rPr>
      </w:pPr>
    </w:p>
    <w:p>
      <w:pPr>
        <w:spacing w:line="460" w:lineRule="exact"/>
        <w:rPr>
          <w:rFonts w:hint="eastAsia" w:ascii="宋体" w:hAnsi="宋体"/>
          <w:color w:val="auto"/>
          <w:szCs w:val="21"/>
          <w:highlight w:val="none"/>
        </w:rPr>
      </w:pPr>
      <w:r>
        <w:rPr>
          <w:rFonts w:hint="eastAsia" w:ascii="宋体" w:hAnsi="宋体"/>
          <w:color w:val="auto"/>
          <w:szCs w:val="21"/>
          <w:highlight w:val="none"/>
        </w:rPr>
        <w:t xml:space="preserve">    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460" w:lineRule="exact"/>
        <w:rPr>
          <w:rFonts w:hint="eastAsia" w:ascii="宋体" w:hAnsi="宋体"/>
          <w:color w:val="auto"/>
          <w:sz w:val="24"/>
          <w:szCs w:val="24"/>
          <w:highlight w:val="none"/>
        </w:rPr>
      </w:pPr>
    </w:p>
    <w:p>
      <w:pPr>
        <w:pStyle w:val="30"/>
        <w:ind w:firstLine="420"/>
        <w:rPr>
          <w:rFonts w:hint="eastAsia"/>
          <w:color w:val="auto"/>
          <w:highlight w:val="none"/>
        </w:rPr>
      </w:pPr>
    </w:p>
    <w:p>
      <w:pPr>
        <w:pStyle w:val="30"/>
        <w:ind w:firstLine="420"/>
        <w:rPr>
          <w:rFonts w:hint="eastAsia"/>
          <w:color w:val="auto"/>
          <w:highlight w:val="none"/>
        </w:rPr>
      </w:pPr>
    </w:p>
    <w:p>
      <w:pPr>
        <w:pStyle w:val="30"/>
        <w:ind w:firstLine="420"/>
        <w:rPr>
          <w:rFonts w:hint="eastAsia"/>
          <w:color w:val="auto"/>
          <w:highlight w:val="none"/>
        </w:rPr>
      </w:pPr>
      <w:r>
        <w:rPr>
          <w:rFonts w:hint="eastAsia" w:ascii="宋体" w:hAnsi="宋体" w:cs="宋体"/>
          <w:color w:val="auto"/>
          <w:szCs w:val="21"/>
          <w:highlight w:val="none"/>
        </w:rPr>
        <w:t>注：各供应商可以根据实际情况合理安排，对上述项目适当予以调整。</w:t>
      </w:r>
    </w:p>
    <w:p>
      <w:pPr>
        <w:spacing w:line="360" w:lineRule="auto"/>
        <w:jc w:val="center"/>
        <w:rPr>
          <w:rFonts w:hint="eastAsia" w:ascii="宋体" w:hAnsi="宋体"/>
          <w:color w:val="auto"/>
          <w:szCs w:val="21"/>
          <w:highlight w:val="none"/>
        </w:rPr>
      </w:pPr>
    </w:p>
    <w:p>
      <w:pPr>
        <w:spacing w:line="360" w:lineRule="auto"/>
        <w:jc w:val="center"/>
        <w:rPr>
          <w:rFonts w:hint="eastAsia" w:ascii="宋体" w:hAnsi="宋体"/>
          <w:color w:val="auto"/>
          <w:szCs w:val="21"/>
          <w:highlight w:val="none"/>
        </w:rPr>
      </w:pPr>
    </w:p>
    <w:p>
      <w:pPr>
        <w:spacing w:line="360" w:lineRule="auto"/>
        <w:jc w:val="center"/>
        <w:rPr>
          <w:rFonts w:hint="eastAsia" w:ascii="宋体" w:hAnsi="宋体"/>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pStyle w:val="30"/>
        <w:rPr>
          <w:rFonts w:hint="eastAsia" w:ascii="宋体" w:hAnsi="宋体"/>
          <w:b/>
          <w:color w:val="auto"/>
          <w:szCs w:val="21"/>
          <w:highlight w:val="none"/>
        </w:rPr>
      </w:pPr>
    </w:p>
    <w:p>
      <w:pPr>
        <w:pStyle w:val="30"/>
        <w:rPr>
          <w:rFonts w:hint="eastAsia" w:ascii="宋体" w:hAnsi="宋体"/>
          <w:b/>
          <w:color w:val="auto"/>
          <w:szCs w:val="21"/>
          <w:highlight w:val="none"/>
        </w:rPr>
      </w:pPr>
    </w:p>
    <w:p>
      <w:pPr>
        <w:pStyle w:val="30"/>
        <w:rPr>
          <w:rFonts w:hint="eastAsia" w:ascii="宋体" w:hAnsi="宋体"/>
          <w:b/>
          <w:color w:val="auto"/>
          <w:szCs w:val="21"/>
          <w:highlight w:val="none"/>
        </w:rPr>
      </w:pPr>
    </w:p>
    <w:p>
      <w:pPr>
        <w:pStyle w:val="30"/>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after="312" w:afterLines="100" w:line="360" w:lineRule="auto"/>
        <w:jc w:val="center"/>
        <w:rPr>
          <w:rFonts w:hint="eastAsia" w:ascii="宋体" w:hAnsi="宋体"/>
          <w:b/>
          <w:color w:val="auto"/>
          <w:szCs w:val="21"/>
          <w:highlight w:val="none"/>
        </w:rPr>
      </w:pPr>
      <w:r>
        <w:rPr>
          <w:rFonts w:hint="eastAsia" w:ascii="宋体" w:hAnsi="宋体"/>
          <w:b/>
          <w:color w:val="auto"/>
          <w:szCs w:val="21"/>
          <w:highlight w:val="none"/>
          <w:lang w:eastAsia="zh-CN"/>
        </w:rPr>
        <w:t>五</w:t>
      </w:r>
      <w:r>
        <w:rPr>
          <w:rFonts w:hint="eastAsia" w:ascii="宋体" w:hAnsi="宋体"/>
          <w:b/>
          <w:color w:val="auto"/>
          <w:szCs w:val="21"/>
          <w:highlight w:val="none"/>
        </w:rPr>
        <w:t>、技术参数响应及偏离表</w:t>
      </w:r>
    </w:p>
    <w:p>
      <w:pPr>
        <w:spacing w:after="312" w:afterLines="100" w:line="360" w:lineRule="auto"/>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全称（加盖公章）：</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序号</w:t>
            </w:r>
          </w:p>
        </w:tc>
        <w:tc>
          <w:tcPr>
            <w:tcW w:w="20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color w:val="auto"/>
                <w:szCs w:val="21"/>
                <w:highlight w:val="none"/>
              </w:rPr>
            </w:pPr>
            <w:r>
              <w:rPr>
                <w:rFonts w:hint="eastAsia" w:ascii="宋体" w:hAnsi="宋体"/>
                <w:color w:val="auto"/>
                <w:szCs w:val="21"/>
                <w:highlight w:val="none"/>
              </w:rPr>
              <w:t xml:space="preserve">       项目</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ind w:firstLine="315" w:firstLineChars="150"/>
              <w:rPr>
                <w:rFonts w:ascii="宋体" w:hAnsi="宋体"/>
                <w:color w:val="auto"/>
                <w:szCs w:val="21"/>
                <w:highlight w:val="none"/>
              </w:rPr>
            </w:pPr>
            <w:r>
              <w:rPr>
                <w:rFonts w:hint="eastAsia" w:ascii="宋体" w:hAnsi="宋体"/>
                <w:color w:val="auto"/>
                <w:szCs w:val="21"/>
                <w:highlight w:val="none"/>
              </w:rPr>
              <w:t>招标要求</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color w:val="auto"/>
                <w:szCs w:val="21"/>
                <w:highlight w:val="none"/>
              </w:rPr>
            </w:pPr>
            <w:r>
              <w:rPr>
                <w:rFonts w:hint="eastAsia" w:ascii="宋体" w:hAnsi="宋体"/>
                <w:color w:val="auto"/>
                <w:szCs w:val="21"/>
                <w:highlight w:val="none"/>
              </w:rPr>
              <w:t>投标响应</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color w:val="auto"/>
                <w:szCs w:val="21"/>
                <w:highlight w:val="none"/>
              </w:rPr>
            </w:pPr>
            <w:r>
              <w:rPr>
                <w:rFonts w:hint="eastAsia" w:ascii="宋体" w:hAnsi="宋体"/>
                <w:color w:val="auto"/>
                <w:szCs w:val="21"/>
                <w:highlight w:val="none"/>
              </w:rPr>
              <w:t>超出、符合或偏离</w:t>
            </w:r>
          </w:p>
        </w:tc>
        <w:tc>
          <w:tcPr>
            <w:tcW w:w="13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原因或说明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color w:val="auto"/>
                <w:sz w:val="24"/>
                <w:szCs w:val="24"/>
                <w:highlight w:val="none"/>
              </w:rPr>
            </w:pPr>
          </w:p>
        </w:tc>
      </w:tr>
    </w:tbl>
    <w:p>
      <w:pPr>
        <w:rPr>
          <w:rFonts w:hint="eastAsia" w:ascii="宋体" w:hAnsi="宋体"/>
          <w:color w:val="auto"/>
          <w:szCs w:val="21"/>
          <w:highlight w:val="none"/>
        </w:rPr>
      </w:pPr>
    </w:p>
    <w:p>
      <w:pPr>
        <w:rPr>
          <w:rFonts w:hint="eastAsia" w:ascii="宋体" w:hAnsi="宋体" w:eastAsia="微软雅黑"/>
          <w:color w:val="auto"/>
          <w:szCs w:val="21"/>
          <w:highlight w:val="none"/>
        </w:rPr>
      </w:pPr>
      <w:r>
        <w:rPr>
          <w:rFonts w:hint="eastAsia" w:ascii="宋体" w:hAnsi="宋体"/>
          <w:color w:val="auto"/>
          <w:szCs w:val="21"/>
          <w:highlight w:val="none"/>
        </w:rPr>
        <w:t>法定代表人或授权代表签字：</w:t>
      </w:r>
    </w:p>
    <w:p>
      <w:pPr>
        <w:rPr>
          <w:rFonts w:hint="eastAsia" w:ascii="宋体" w:hAnsi="宋体"/>
          <w:color w:val="auto"/>
          <w:kern w:val="0"/>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r>
        <w:rPr>
          <w:rFonts w:hint="eastAsia" w:ascii="宋体" w:hAnsi="宋体"/>
          <w:color w:val="auto"/>
          <w:szCs w:val="21"/>
          <w:highlight w:val="none"/>
        </w:rPr>
        <w:t>注：1、按照项目需求详细填列。</w:t>
      </w:r>
    </w:p>
    <w:p>
      <w:pPr>
        <w:ind w:firstLine="420" w:firstLineChars="200"/>
        <w:rPr>
          <w:rFonts w:hint="eastAsia" w:ascii="宋体" w:hAnsi="宋体"/>
          <w:color w:val="auto"/>
          <w:szCs w:val="21"/>
          <w:highlight w:val="none"/>
        </w:rPr>
      </w:pPr>
      <w:r>
        <w:rPr>
          <w:rFonts w:hint="eastAsia" w:ascii="宋体" w:hAnsi="宋体"/>
          <w:color w:val="auto"/>
          <w:szCs w:val="21"/>
          <w:highlight w:val="none"/>
        </w:rPr>
        <w:t>2、行数不够，可自行添加。</w:t>
      </w:r>
    </w:p>
    <w:p>
      <w:pPr>
        <w:spacing w:after="312" w:afterLines="100" w:line="360" w:lineRule="auto"/>
        <w:jc w:val="center"/>
        <w:rPr>
          <w:rFonts w:hint="eastAsia" w:ascii="宋体" w:hAnsi="宋体"/>
          <w:color w:val="auto"/>
          <w:szCs w:val="21"/>
          <w:highlight w:val="none"/>
        </w:rPr>
      </w:pPr>
      <w:r>
        <w:rPr>
          <w:rFonts w:hint="eastAsia" w:ascii="宋体" w:hAnsi="宋体"/>
          <w:color w:val="auto"/>
          <w:szCs w:val="21"/>
          <w:highlight w:val="none"/>
        </w:rPr>
        <w:t xml:space="preserve"> </w:t>
      </w:r>
    </w:p>
    <w:p>
      <w:pPr>
        <w:rPr>
          <w:rFonts w:hint="eastAsia" w:ascii="宋体" w:hAnsi="宋体"/>
          <w:color w:val="auto"/>
          <w:kern w:val="0"/>
          <w:sz w:val="24"/>
          <w:szCs w:val="24"/>
          <w:highlight w:val="none"/>
        </w:rPr>
      </w:pPr>
    </w:p>
    <w:p>
      <w:pPr>
        <w:jc w:val="left"/>
        <w:rPr>
          <w:rFonts w:hint="eastAsia" w:ascii="宋体" w:hAnsi="宋体"/>
          <w:color w:val="auto"/>
          <w:sz w:val="24"/>
          <w:szCs w:val="24"/>
          <w:highlight w:val="none"/>
        </w:rPr>
      </w:pPr>
    </w:p>
    <w:p>
      <w:pPr>
        <w:jc w:val="left"/>
        <w:rPr>
          <w:rFonts w:hint="eastAsia" w:ascii="宋体" w:hAnsi="宋体"/>
          <w:color w:val="auto"/>
          <w:sz w:val="24"/>
          <w:szCs w:val="24"/>
          <w:highlight w:val="none"/>
        </w:rPr>
      </w:pPr>
    </w:p>
    <w:p>
      <w:pPr>
        <w:jc w:val="left"/>
        <w:rPr>
          <w:rFonts w:hint="eastAsia" w:ascii="宋体" w:hAnsi="宋体"/>
          <w:color w:val="auto"/>
          <w:sz w:val="24"/>
          <w:szCs w:val="24"/>
          <w:highlight w:val="none"/>
        </w:rPr>
      </w:pPr>
    </w:p>
    <w:p>
      <w:pPr>
        <w:spacing w:line="460" w:lineRule="exact"/>
        <w:rPr>
          <w:rFonts w:hint="eastAsia" w:ascii="宋体" w:hAnsi="宋体"/>
          <w:bCs/>
          <w:color w:val="auto"/>
          <w:sz w:val="24"/>
          <w:highlight w:val="none"/>
        </w:rPr>
      </w:pPr>
    </w:p>
    <w:p>
      <w:pPr>
        <w:spacing w:after="312" w:afterLines="100" w:line="360" w:lineRule="auto"/>
        <w:jc w:val="center"/>
        <w:rPr>
          <w:rFonts w:hint="eastAsia" w:ascii="宋体" w:hAnsi="宋体"/>
          <w:b/>
          <w:color w:val="auto"/>
          <w:szCs w:val="21"/>
          <w:highlight w:val="none"/>
        </w:rPr>
      </w:pPr>
      <w:r>
        <w:rPr>
          <w:rFonts w:hint="eastAsia" w:ascii="宋体" w:hAnsi="宋体"/>
          <w:b/>
          <w:color w:val="auto"/>
          <w:sz w:val="32"/>
          <w:szCs w:val="32"/>
          <w:highlight w:val="none"/>
        </w:rPr>
        <w:br w:type="page"/>
      </w:r>
      <w:r>
        <w:rPr>
          <w:rFonts w:hint="eastAsia" w:ascii="宋体" w:hAnsi="宋体"/>
          <w:b/>
          <w:color w:val="auto"/>
          <w:szCs w:val="21"/>
          <w:highlight w:val="none"/>
          <w:lang w:eastAsia="zh-CN"/>
        </w:rPr>
        <w:t>六</w:t>
      </w:r>
      <w:r>
        <w:rPr>
          <w:rFonts w:hint="eastAsia" w:ascii="宋体" w:hAnsi="宋体"/>
          <w:b/>
          <w:color w:val="auto"/>
          <w:szCs w:val="21"/>
          <w:highlight w:val="none"/>
        </w:rPr>
        <w:t>、商务条款响应及偏离表</w:t>
      </w:r>
    </w:p>
    <w:p>
      <w:pPr>
        <w:spacing w:after="312" w:afterLines="100" w:line="360" w:lineRule="auto"/>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全称（加盖公章）：</w:t>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宋体" w:hAnsi="宋体"/>
                <w:color w:val="auto"/>
                <w:szCs w:val="21"/>
                <w:highlight w:val="none"/>
              </w:rPr>
            </w:pPr>
            <w:r>
              <w:rPr>
                <w:rFonts w:hint="eastAsia" w:ascii="宋体" w:hAnsi="宋体"/>
                <w:color w:val="auto"/>
                <w:szCs w:val="21"/>
                <w:highlight w:val="none"/>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宋体" w:eastAsia="仿宋_GB2312"/>
                <w:color w:val="auto"/>
                <w:szCs w:val="21"/>
                <w:highlight w:val="none"/>
              </w:rPr>
            </w:pPr>
            <w:r>
              <w:rPr>
                <w:rFonts w:hint="eastAsia" w:ascii="仿宋_GB2312" w:hAnsi="宋体"/>
                <w:color w:val="auto"/>
                <w:szCs w:val="21"/>
                <w:highlight w:val="none"/>
              </w:rPr>
              <w:t>项目</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宋体" w:eastAsia="仿宋_GB2312"/>
                <w:color w:val="auto"/>
                <w:szCs w:val="21"/>
                <w:highlight w:val="none"/>
              </w:rPr>
            </w:pPr>
            <w:r>
              <w:rPr>
                <w:rFonts w:hint="eastAsia" w:ascii="仿宋_GB2312" w:hAnsi="宋体"/>
                <w:color w:val="auto"/>
                <w:szCs w:val="21"/>
                <w:highlight w:val="none"/>
              </w:rPr>
              <w:t>招标要求</w:t>
            </w:r>
          </w:p>
        </w:tc>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宋体" w:eastAsia="仿宋_GB2312"/>
                <w:color w:val="auto"/>
                <w:szCs w:val="21"/>
                <w:highlight w:val="none"/>
              </w:rPr>
            </w:pPr>
            <w:r>
              <w:rPr>
                <w:rFonts w:hint="eastAsia" w:ascii="仿宋_GB2312" w:hAnsi="宋体"/>
                <w:color w:val="auto"/>
                <w:szCs w:val="21"/>
                <w:highlight w:val="none"/>
              </w:rPr>
              <w:t>是否响应</w:t>
            </w:r>
          </w:p>
        </w:tc>
        <w:tc>
          <w:tcPr>
            <w:tcW w:w="2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宋体" w:eastAsia="仿宋_GB2312"/>
                <w:color w:val="auto"/>
                <w:szCs w:val="21"/>
                <w:highlight w:val="none"/>
              </w:rPr>
            </w:pPr>
            <w:r>
              <w:rPr>
                <w:rFonts w:hint="eastAsia" w:ascii="仿宋_GB2312" w:hAnsi="宋体"/>
                <w:color w:val="auto"/>
                <w:szCs w:val="21"/>
                <w:highlight w:val="none"/>
                <w:lang w:eastAsia="zh-CN"/>
              </w:rPr>
              <w:t>供应商</w:t>
            </w:r>
            <w:r>
              <w:rPr>
                <w:rFonts w:hint="eastAsia" w:ascii="仿宋_GB2312" w:hAnsi="宋体"/>
                <w:color w:val="auto"/>
                <w:szCs w:val="21"/>
                <w:highlight w:val="none"/>
              </w:rPr>
              <w:t>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仿宋_GB2312" w:hAnsi="宋体" w:eastAsia="仿宋_GB2312"/>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宋体" w:eastAsia="仿宋_GB2312"/>
                <w:color w:val="auto"/>
                <w:szCs w:val="21"/>
                <w:highlight w:val="none"/>
              </w:rPr>
            </w:pPr>
            <w:r>
              <w:rPr>
                <w:rFonts w:hint="eastAsia" w:ascii="仿宋_GB2312" w:hAnsi="宋体"/>
                <w:color w:val="auto"/>
                <w:szCs w:val="21"/>
                <w:highlight w:val="none"/>
              </w:rPr>
              <w:t>免费维保期</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仿宋_GB2312" w:hAnsi="宋体" w:eastAsia="仿宋_GB2312"/>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宋体" w:eastAsia="仿宋_GB2312"/>
                <w:color w:val="auto"/>
                <w:szCs w:val="21"/>
                <w:highlight w:val="none"/>
              </w:rPr>
            </w:pPr>
            <w:r>
              <w:rPr>
                <w:rFonts w:hint="eastAsia" w:ascii="仿宋_GB2312"/>
                <w:color w:val="auto"/>
                <w:szCs w:val="21"/>
                <w:highlight w:val="none"/>
              </w:rPr>
              <w:t>售后技术服务要求</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仿宋_GB2312" w:hAnsi="宋体" w:eastAsia="仿宋_GB2312"/>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宋体" w:eastAsia="仿宋_GB2312"/>
                <w:color w:val="auto"/>
                <w:szCs w:val="21"/>
                <w:highlight w:val="none"/>
              </w:rPr>
            </w:pPr>
            <w:r>
              <w:rPr>
                <w:rFonts w:hint="eastAsia" w:ascii="仿宋_GB2312"/>
                <w:color w:val="auto"/>
                <w:szCs w:val="21"/>
                <w:highlight w:val="none"/>
              </w:rPr>
              <w:t>交付时间</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color w:val="auto"/>
                <w:szCs w:val="21"/>
                <w:highlight w:val="none"/>
              </w:rPr>
            </w:pPr>
            <w:r>
              <w:rPr>
                <w:rFonts w:hint="eastAsia" w:ascii="仿宋_GB2312" w:hAnsi="宋体"/>
                <w:color w:val="auto"/>
                <w:szCs w:val="21"/>
                <w:highlight w:val="none"/>
              </w:rPr>
              <w:t>合同签订后</w:t>
            </w:r>
            <w:r>
              <w:rPr>
                <w:rFonts w:hint="eastAsia" w:ascii="仿宋_GB2312" w:hAnsi="宋体"/>
                <w:color w:val="auto"/>
                <w:szCs w:val="21"/>
                <w:highlight w:val="none"/>
                <w:u w:val="single"/>
              </w:rPr>
              <w:t xml:space="preserve">     </w:t>
            </w:r>
            <w:r>
              <w:rPr>
                <w:rFonts w:hint="eastAsia" w:ascii="仿宋_GB2312" w:hAnsi="宋体"/>
                <w:color w:val="auto"/>
                <w:szCs w:val="21"/>
                <w:highlight w:val="none"/>
              </w:rPr>
              <w:t>天内</w:t>
            </w: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仿宋_GB2312" w:hAnsi="Tahoma"/>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Tahoma"/>
                <w:color w:val="auto"/>
                <w:szCs w:val="21"/>
                <w:highlight w:val="none"/>
              </w:rPr>
            </w:pPr>
            <w:r>
              <w:rPr>
                <w:rFonts w:hint="eastAsia" w:ascii="仿宋_GB2312"/>
                <w:color w:val="auto"/>
                <w:szCs w:val="21"/>
                <w:highlight w:val="none"/>
              </w:rPr>
              <w:t>交付方式</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20" w:lineRule="atLeast"/>
              <w:rPr>
                <w:rFonts w:ascii="仿宋_GB2312" w:hAnsi="宋体" w:eastAsia="微软雅黑"/>
                <w:color w:val="auto"/>
                <w:szCs w:val="21"/>
                <w:highlight w:val="none"/>
              </w:rPr>
            </w:pPr>
          </w:p>
          <w:p>
            <w:pPr>
              <w:adjustRightInd w:val="0"/>
              <w:snapToGrid w:val="0"/>
              <w:spacing w:before="156" w:beforeLines="50" w:after="200" w:line="220" w:lineRule="atLeast"/>
              <w:rPr>
                <w:rFonts w:ascii="仿宋_GB2312" w:hAnsi="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仿宋_GB2312" w:hAnsi="Tahoma"/>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Tahoma"/>
                <w:color w:val="auto"/>
                <w:szCs w:val="21"/>
                <w:highlight w:val="none"/>
              </w:rPr>
            </w:pPr>
            <w:r>
              <w:rPr>
                <w:rFonts w:hint="eastAsia" w:ascii="仿宋_GB2312"/>
                <w:color w:val="auto"/>
                <w:szCs w:val="21"/>
                <w:highlight w:val="none"/>
              </w:rPr>
              <w:t>交付地点</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20" w:lineRule="atLeast"/>
              <w:rPr>
                <w:rFonts w:ascii="仿宋_GB2312" w:hAnsi="宋体" w:eastAsia="微软雅黑"/>
                <w:color w:val="auto"/>
                <w:szCs w:val="21"/>
                <w:highlight w:val="none"/>
              </w:rPr>
            </w:pPr>
          </w:p>
          <w:p>
            <w:pPr>
              <w:adjustRightInd w:val="0"/>
              <w:snapToGrid w:val="0"/>
              <w:spacing w:before="156" w:beforeLines="50" w:after="200" w:line="220" w:lineRule="atLeast"/>
              <w:rPr>
                <w:rFonts w:ascii="仿宋_GB2312" w:hAnsi="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仿宋_GB2312" w:hAnsi="宋体" w:eastAsia="仿宋_GB2312"/>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宋体" w:eastAsia="仿宋_GB2312"/>
                <w:color w:val="auto"/>
                <w:szCs w:val="21"/>
                <w:highlight w:val="none"/>
              </w:rPr>
            </w:pPr>
            <w:r>
              <w:rPr>
                <w:rFonts w:hint="eastAsia" w:ascii="仿宋_GB2312" w:hAnsi="宋体"/>
                <w:color w:val="auto"/>
                <w:szCs w:val="21"/>
                <w:highlight w:val="none"/>
              </w:rPr>
              <w:t>付款方式</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color w:val="auto"/>
                <w:sz w:val="24"/>
                <w:szCs w:val="20"/>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color w:val="auto"/>
                <w:sz w:val="24"/>
                <w:szCs w:val="20"/>
                <w:highlight w:val="none"/>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宋体" w:hAnsi="宋体"/>
                <w:color w:val="auto"/>
                <w:szCs w:val="21"/>
                <w:highlight w:val="none"/>
              </w:rPr>
            </w:pPr>
            <w:r>
              <w:rPr>
                <w:rFonts w:hint="eastAsia" w:ascii="宋体" w:hAnsi="宋体"/>
                <w:color w:val="auto"/>
                <w:szCs w:val="21"/>
                <w:highlight w:val="none"/>
              </w:rPr>
              <w:t>投标货币</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20" w:lineRule="atLeast"/>
              <w:rPr>
                <w:rFonts w:ascii="仿宋_GB2312" w:hAnsi="宋体" w:eastAsia="仿宋_GB2312"/>
                <w:color w:val="auto"/>
                <w:sz w:val="24"/>
                <w:szCs w:val="20"/>
                <w:highlight w:val="none"/>
              </w:rPr>
            </w:pPr>
          </w:p>
          <w:p>
            <w:pPr>
              <w:adjustRightInd w:val="0"/>
              <w:snapToGrid w:val="0"/>
              <w:spacing w:before="156" w:beforeLines="50" w:after="200" w:line="220" w:lineRule="atLeast"/>
              <w:rPr>
                <w:rFonts w:ascii="仿宋_GB2312" w:hAnsi="宋体" w:eastAsia="仿宋_GB2312"/>
                <w:color w:val="auto"/>
                <w:sz w:val="24"/>
                <w:szCs w:val="20"/>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color w:val="auto"/>
                <w:sz w:val="24"/>
                <w:szCs w:val="20"/>
                <w:highlight w:val="none"/>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仿宋_GB2312" w:hAnsi="Tahoma"/>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Tahoma"/>
                <w:color w:val="auto"/>
                <w:szCs w:val="21"/>
                <w:highlight w:val="none"/>
              </w:rPr>
            </w:pPr>
            <w:r>
              <w:rPr>
                <w:rFonts w:hint="eastAsia" w:ascii="仿宋_GB2312"/>
                <w:color w:val="auto"/>
                <w:szCs w:val="21"/>
                <w:highlight w:val="none"/>
              </w:rPr>
              <w:t>备品备件及耗材等要求</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仿宋_GB2312" w:hAnsi="宋体" w:eastAsia="仿宋_GB2312"/>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宋体" w:eastAsia="仿宋_GB2312"/>
                <w:color w:val="auto"/>
                <w:szCs w:val="21"/>
                <w:highlight w:val="none"/>
              </w:rPr>
            </w:pPr>
            <w:r>
              <w:rPr>
                <w:rFonts w:hint="eastAsia" w:ascii="仿宋_GB2312" w:hAnsi="宋体"/>
                <w:color w:val="auto"/>
                <w:szCs w:val="21"/>
                <w:highlight w:val="none"/>
              </w:rPr>
              <w:t>其他</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color w:val="auto"/>
                <w:szCs w:val="21"/>
                <w:highlight w:val="none"/>
              </w:rPr>
            </w:pPr>
          </w:p>
        </w:tc>
      </w:tr>
    </w:tbl>
    <w:p>
      <w:pPr>
        <w:spacing w:before="312" w:beforeLines="100" w:line="360" w:lineRule="auto"/>
        <w:rPr>
          <w:rFonts w:hint="eastAsia" w:ascii="宋体" w:hAnsi="宋体" w:eastAsia="微软雅黑"/>
          <w:color w:val="auto"/>
          <w:szCs w:val="21"/>
          <w:highlight w:val="none"/>
        </w:rPr>
      </w:pPr>
      <w:r>
        <w:rPr>
          <w:rFonts w:hint="eastAsia" w:ascii="宋体" w:hAnsi="宋体"/>
          <w:color w:val="auto"/>
          <w:szCs w:val="21"/>
          <w:highlight w:val="none"/>
        </w:rPr>
        <w:t>法定代表人或授权代表签字：</w:t>
      </w:r>
    </w:p>
    <w:p>
      <w:pPr>
        <w:spacing w:after="312" w:afterLines="100" w:line="360" w:lineRule="auto"/>
        <w:jc w:val="center"/>
        <w:rPr>
          <w:rFonts w:hint="eastAsia" w:ascii="黑体" w:hAnsi="Arial" w:eastAsia="黑体"/>
          <w:b/>
          <w:color w:val="auto"/>
          <w:sz w:val="36"/>
          <w:highlight w:val="none"/>
        </w:rPr>
      </w:pPr>
    </w:p>
    <w:p>
      <w:pPr>
        <w:numPr>
          <w:ilvl w:val="0"/>
          <w:numId w:val="0"/>
        </w:numPr>
        <w:jc w:val="center"/>
        <w:rPr>
          <w:rFonts w:hint="eastAsia" w:ascii="宋体" w:hAnsi="宋体"/>
          <w:b/>
          <w:color w:val="auto"/>
          <w:sz w:val="32"/>
          <w:szCs w:val="32"/>
          <w:highlight w:val="none"/>
        </w:rPr>
      </w:pPr>
    </w:p>
    <w:p>
      <w:pPr>
        <w:numPr>
          <w:ilvl w:val="0"/>
          <w:numId w:val="0"/>
        </w:numPr>
        <w:jc w:val="center"/>
        <w:rPr>
          <w:rFonts w:hint="eastAsia" w:ascii="宋体" w:hAnsi="宋体"/>
          <w:b/>
          <w:color w:val="auto"/>
          <w:sz w:val="32"/>
          <w:szCs w:val="32"/>
          <w:highlight w:val="none"/>
        </w:rPr>
      </w:pPr>
    </w:p>
    <w:p>
      <w:pPr>
        <w:numPr>
          <w:ilvl w:val="0"/>
          <w:numId w:val="0"/>
        </w:numPr>
        <w:jc w:val="center"/>
        <w:rPr>
          <w:rFonts w:hint="eastAsia" w:ascii="宋体" w:hAnsi="宋体"/>
          <w:b/>
          <w:color w:val="auto"/>
          <w:sz w:val="32"/>
          <w:szCs w:val="32"/>
          <w:highlight w:val="none"/>
        </w:rPr>
      </w:pPr>
    </w:p>
    <w:p>
      <w:pPr>
        <w:pStyle w:val="8"/>
        <w:rPr>
          <w:rFonts w:hint="eastAsia"/>
          <w:color w:val="auto"/>
          <w:highlight w:val="none"/>
        </w:rPr>
      </w:pPr>
    </w:p>
    <w:p>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b/>
          <w:color w:val="auto"/>
          <w:sz w:val="32"/>
          <w:szCs w:val="32"/>
          <w:highlight w:val="none"/>
        </w:rPr>
        <w:br w:type="page"/>
      </w:r>
      <w:r>
        <w:rPr>
          <w:rFonts w:hint="eastAsia" w:ascii="宋体" w:hAnsi="宋体" w:eastAsia="宋体"/>
          <w:b/>
          <w:color w:val="auto"/>
          <w:szCs w:val="21"/>
          <w:highlight w:val="none"/>
          <w:lang w:eastAsia="zh-CN"/>
        </w:rPr>
        <w:t>七、</w:t>
      </w:r>
      <w:r>
        <w:rPr>
          <w:rFonts w:hint="eastAsia" w:ascii="宋体" w:hAnsi="宋体" w:eastAsia="宋体"/>
          <w:b/>
          <w:color w:val="auto"/>
          <w:szCs w:val="21"/>
          <w:highlight w:val="none"/>
        </w:rPr>
        <w:t>售后服务</w:t>
      </w:r>
    </w:p>
    <w:p>
      <w:pPr>
        <w:numPr>
          <w:ilvl w:val="0"/>
          <w:numId w:val="0"/>
        </w:numPr>
        <w:jc w:val="center"/>
        <w:rPr>
          <w:rFonts w:hint="eastAsia" w:ascii="宋体" w:hAnsi="宋体" w:eastAsia="宋体" w:cs="Times New Roman"/>
          <w:b/>
          <w:color w:val="auto"/>
          <w:szCs w:val="21"/>
          <w:highlight w:val="none"/>
          <w:lang w:eastAsia="zh-CN"/>
        </w:rPr>
      </w:pPr>
    </w:p>
    <w:p>
      <w:pPr>
        <w:numPr>
          <w:ilvl w:val="0"/>
          <w:numId w:val="0"/>
        </w:numPr>
        <w:jc w:val="center"/>
        <w:rPr>
          <w:rFonts w:hint="eastAsia" w:ascii="宋体" w:hAnsi="宋体" w:eastAsia="宋体" w:cs="Times New Roman"/>
          <w:b/>
          <w:color w:val="auto"/>
          <w:szCs w:val="21"/>
          <w:highlight w:val="none"/>
          <w:lang w:eastAsia="zh-CN"/>
        </w:rPr>
      </w:pPr>
    </w:p>
    <w:p>
      <w:pPr>
        <w:jc w:val="left"/>
        <w:rPr>
          <w:rFonts w:hint="eastAsia" w:ascii="宋体" w:hAnsi="宋体"/>
          <w:b/>
          <w:color w:val="auto"/>
          <w:szCs w:val="21"/>
          <w:highlight w:val="none"/>
        </w:rPr>
      </w:pPr>
    </w:p>
    <w:p>
      <w:pPr>
        <w:spacing w:after="312" w:afterLines="100" w:line="360" w:lineRule="auto"/>
        <w:rPr>
          <w:rFonts w:hint="eastAsia"/>
          <w:color w:val="auto"/>
          <w:highlight w:val="none"/>
        </w:rPr>
      </w:pPr>
    </w:p>
    <w:p>
      <w:pPr>
        <w:spacing w:after="312" w:afterLines="100" w:line="360" w:lineRule="auto"/>
        <w:rPr>
          <w:rFonts w:hint="eastAsia"/>
          <w:color w:val="auto"/>
          <w:highlight w:val="none"/>
        </w:rPr>
      </w:pPr>
    </w:p>
    <w:p>
      <w:pPr>
        <w:spacing w:after="312" w:afterLines="100" w:line="360" w:lineRule="auto"/>
        <w:rPr>
          <w:rFonts w:hint="eastAsia"/>
          <w:color w:val="auto"/>
          <w:highlight w:val="none"/>
        </w:rPr>
      </w:pPr>
    </w:p>
    <w:p>
      <w:pPr>
        <w:spacing w:after="312" w:afterLines="100" w:line="360" w:lineRule="auto"/>
        <w:rPr>
          <w:rFonts w:hint="eastAsia"/>
          <w:color w:val="auto"/>
          <w:highlight w:val="none"/>
        </w:rPr>
      </w:pPr>
    </w:p>
    <w:p>
      <w:pPr>
        <w:spacing w:after="312" w:afterLines="100" w:line="360" w:lineRule="auto"/>
        <w:rPr>
          <w:rFonts w:hint="eastAsia"/>
          <w:color w:val="auto"/>
          <w:highlight w:val="none"/>
        </w:rPr>
      </w:pPr>
    </w:p>
    <w:p>
      <w:pPr>
        <w:spacing w:after="312" w:afterLines="100" w:line="360" w:lineRule="auto"/>
        <w:rPr>
          <w:rFonts w:hint="eastAsia"/>
          <w:color w:val="auto"/>
          <w:highlight w:val="none"/>
        </w:rPr>
      </w:pPr>
    </w:p>
    <w:p>
      <w:pPr>
        <w:spacing w:after="312" w:afterLines="100" w:line="360" w:lineRule="auto"/>
        <w:rPr>
          <w:rFonts w:hint="eastAsia"/>
          <w:color w:val="auto"/>
          <w:highlight w:val="none"/>
        </w:rPr>
      </w:pPr>
    </w:p>
    <w:p>
      <w:pPr>
        <w:spacing w:after="312" w:afterLines="100" w:line="360" w:lineRule="auto"/>
        <w:rPr>
          <w:rFonts w:hint="eastAsia"/>
          <w:color w:val="auto"/>
          <w:highlight w:val="none"/>
        </w:rPr>
      </w:pPr>
    </w:p>
    <w:p>
      <w:pPr>
        <w:spacing w:after="312" w:afterLines="100" w:line="360" w:lineRule="auto"/>
        <w:rPr>
          <w:rFonts w:hint="eastAsia"/>
          <w:color w:val="auto"/>
          <w:highlight w:val="none"/>
        </w:rPr>
      </w:pPr>
    </w:p>
    <w:p>
      <w:pPr>
        <w:spacing w:after="312" w:afterLines="100" w:line="360" w:lineRule="auto"/>
        <w:rPr>
          <w:rFonts w:hint="eastAsia"/>
          <w:color w:val="auto"/>
          <w:highlight w:val="none"/>
        </w:rPr>
      </w:pPr>
    </w:p>
    <w:p>
      <w:pPr>
        <w:spacing w:after="312" w:afterLines="100" w:line="360" w:lineRule="auto"/>
        <w:rPr>
          <w:rFonts w:hint="eastAsia"/>
          <w:color w:val="auto"/>
          <w:highlight w:val="none"/>
        </w:rPr>
      </w:pPr>
    </w:p>
    <w:p>
      <w:pPr>
        <w:spacing w:after="312" w:afterLines="100" w:line="360" w:lineRule="auto"/>
        <w:rPr>
          <w:rFonts w:hint="eastAsia"/>
          <w:color w:val="auto"/>
          <w:highlight w:val="none"/>
        </w:rPr>
      </w:pPr>
    </w:p>
    <w:p>
      <w:pPr>
        <w:spacing w:after="312" w:afterLines="100" w:line="360" w:lineRule="auto"/>
        <w:rPr>
          <w:rFonts w:hint="eastAsia"/>
          <w:color w:val="auto"/>
          <w:highlight w:val="none"/>
        </w:rPr>
      </w:pPr>
    </w:p>
    <w:p>
      <w:pPr>
        <w:spacing w:after="312" w:afterLines="100" w:line="360" w:lineRule="auto"/>
        <w:rPr>
          <w:rFonts w:hint="eastAsia"/>
          <w:color w:val="auto"/>
          <w:highlight w:val="none"/>
        </w:rPr>
      </w:pPr>
    </w:p>
    <w:p>
      <w:pPr>
        <w:spacing w:after="312" w:afterLines="100" w:line="360" w:lineRule="auto"/>
        <w:rPr>
          <w:rFonts w:hint="eastAsia"/>
          <w:color w:val="auto"/>
          <w:highlight w:val="none"/>
        </w:rPr>
      </w:pPr>
    </w:p>
    <w:p>
      <w:pPr>
        <w:spacing w:after="312" w:afterLines="100" w:line="360" w:lineRule="auto"/>
        <w:rPr>
          <w:rFonts w:hint="eastAsia"/>
          <w:color w:val="auto"/>
          <w:highlight w:val="none"/>
        </w:rPr>
      </w:pPr>
    </w:p>
    <w:p>
      <w:pPr>
        <w:pStyle w:val="30"/>
        <w:rPr>
          <w:rFonts w:hint="eastAsia"/>
          <w:color w:val="auto"/>
          <w:highlight w:val="none"/>
        </w:rPr>
      </w:pPr>
    </w:p>
    <w:p>
      <w:pPr>
        <w:pStyle w:val="30"/>
        <w:ind w:left="0" w:leftChars="0" w:firstLine="0" w:firstLineChars="0"/>
        <w:rPr>
          <w:rFonts w:hint="eastAsia"/>
          <w:color w:val="auto"/>
          <w:highlight w:val="none"/>
        </w:rPr>
      </w:pPr>
    </w:p>
    <w:p>
      <w:pPr>
        <w:numPr>
          <w:ilvl w:val="0"/>
          <w:numId w:val="0"/>
        </w:numPr>
        <w:jc w:val="center"/>
        <w:rPr>
          <w:rFonts w:hint="eastAsia" w:ascii="宋体" w:hAnsi="宋体" w:eastAsia="宋体" w:cs="Times New Roman"/>
          <w:b/>
          <w:color w:val="auto"/>
          <w:szCs w:val="21"/>
          <w:highlight w:val="none"/>
          <w:lang w:eastAsia="zh-CN"/>
        </w:rPr>
      </w:pPr>
    </w:p>
    <w:p>
      <w:pPr>
        <w:pageBreakBefore w:val="0"/>
        <w:kinsoku/>
        <w:wordWrap/>
        <w:overflowPunct/>
        <w:topLinePunct w:val="0"/>
        <w:bidi w:val="0"/>
        <w:spacing w:line="360" w:lineRule="auto"/>
        <w:jc w:val="center"/>
        <w:rPr>
          <w:rFonts w:hint="eastAsia" w:ascii="宋体" w:hAnsi="宋体" w:eastAsia="宋体"/>
          <w:b/>
          <w:color w:val="auto"/>
          <w:szCs w:val="21"/>
          <w:highlight w:val="none"/>
          <w:lang w:eastAsia="zh-CN"/>
        </w:rPr>
      </w:pPr>
      <w:r>
        <w:rPr>
          <w:rFonts w:hint="eastAsia" w:ascii="宋体" w:hAnsi="宋体" w:eastAsia="宋体"/>
          <w:b/>
          <w:color w:val="auto"/>
          <w:szCs w:val="21"/>
          <w:highlight w:val="none"/>
          <w:lang w:eastAsia="zh-CN"/>
        </w:rPr>
        <w:t>八、综合</w:t>
      </w:r>
      <w:r>
        <w:rPr>
          <w:rFonts w:hint="eastAsia" w:ascii="宋体" w:hAnsi="宋体" w:eastAsia="宋体"/>
          <w:b/>
          <w:color w:val="auto"/>
          <w:szCs w:val="21"/>
          <w:highlight w:val="none"/>
          <w:lang w:val="en-US" w:eastAsia="zh-CN"/>
        </w:rPr>
        <w:t>实</w:t>
      </w:r>
      <w:r>
        <w:rPr>
          <w:rFonts w:hint="eastAsia" w:ascii="宋体" w:hAnsi="宋体" w:eastAsia="宋体"/>
          <w:b/>
          <w:color w:val="auto"/>
          <w:szCs w:val="21"/>
          <w:highlight w:val="none"/>
          <w:lang w:eastAsia="zh-CN"/>
        </w:rPr>
        <w:t>力</w:t>
      </w:r>
    </w:p>
    <w:p>
      <w:pPr>
        <w:numPr>
          <w:ilvl w:val="0"/>
          <w:numId w:val="0"/>
        </w:numPr>
        <w:jc w:val="center"/>
        <w:rPr>
          <w:rFonts w:hint="eastAsia" w:ascii="宋体" w:hAnsi="宋体" w:eastAsia="宋体" w:cs="Times New Roman"/>
          <w:b/>
          <w:color w:val="auto"/>
          <w:szCs w:val="21"/>
          <w:highlight w:val="none"/>
          <w:lang w:eastAsia="zh-CN"/>
        </w:rPr>
      </w:pPr>
    </w:p>
    <w:p>
      <w:pPr>
        <w:numPr>
          <w:ilvl w:val="0"/>
          <w:numId w:val="0"/>
        </w:numPr>
        <w:jc w:val="center"/>
        <w:rPr>
          <w:rFonts w:hint="eastAsia" w:ascii="宋体" w:hAnsi="宋体" w:eastAsia="宋体" w:cs="Times New Roman"/>
          <w:b/>
          <w:color w:val="auto"/>
          <w:szCs w:val="21"/>
          <w:highlight w:val="none"/>
        </w:rPr>
      </w:pPr>
    </w:p>
    <w:p>
      <w:pPr>
        <w:spacing w:after="312" w:afterLines="100" w:line="360" w:lineRule="auto"/>
        <w:rPr>
          <w:rFonts w:hint="eastAsia"/>
          <w:color w:val="auto"/>
          <w:highlight w:val="none"/>
        </w:rPr>
      </w:pPr>
    </w:p>
    <w:p>
      <w:pPr>
        <w:spacing w:after="312" w:afterLines="100" w:line="360" w:lineRule="auto"/>
        <w:rPr>
          <w:rFonts w:hint="eastAsia"/>
          <w:color w:val="auto"/>
          <w:highlight w:val="none"/>
        </w:rPr>
      </w:pPr>
    </w:p>
    <w:p>
      <w:pPr>
        <w:spacing w:after="312" w:afterLines="100" w:line="360" w:lineRule="auto"/>
        <w:rPr>
          <w:rFonts w:hint="eastAsia"/>
          <w:color w:val="auto"/>
          <w:highlight w:val="none"/>
        </w:rPr>
      </w:pPr>
    </w:p>
    <w:p>
      <w:pPr>
        <w:spacing w:after="312" w:afterLines="100" w:line="360" w:lineRule="auto"/>
        <w:rPr>
          <w:rFonts w:hint="eastAsia"/>
          <w:color w:val="auto"/>
          <w:highlight w:val="none"/>
        </w:rPr>
      </w:pPr>
    </w:p>
    <w:p>
      <w:pPr>
        <w:spacing w:after="312" w:afterLines="100" w:line="360" w:lineRule="auto"/>
        <w:rPr>
          <w:rFonts w:hint="eastAsia"/>
          <w:color w:val="auto"/>
          <w:highlight w:val="none"/>
        </w:rPr>
      </w:pPr>
    </w:p>
    <w:p>
      <w:pPr>
        <w:spacing w:after="312" w:afterLines="100" w:line="360" w:lineRule="auto"/>
        <w:rPr>
          <w:rFonts w:hint="eastAsia"/>
          <w:color w:val="auto"/>
          <w:highlight w:val="none"/>
        </w:rPr>
      </w:pPr>
    </w:p>
    <w:p>
      <w:pPr>
        <w:spacing w:after="312" w:afterLines="100" w:line="360" w:lineRule="auto"/>
        <w:rPr>
          <w:rFonts w:hint="eastAsia"/>
          <w:color w:val="auto"/>
          <w:highlight w:val="none"/>
        </w:rPr>
      </w:pPr>
    </w:p>
    <w:p>
      <w:pPr>
        <w:spacing w:after="312" w:afterLines="100" w:line="360" w:lineRule="auto"/>
        <w:rPr>
          <w:rFonts w:hint="eastAsia"/>
          <w:color w:val="auto"/>
          <w:highlight w:val="none"/>
        </w:rPr>
      </w:pPr>
    </w:p>
    <w:p>
      <w:pPr>
        <w:spacing w:after="312" w:afterLines="100" w:line="360" w:lineRule="auto"/>
        <w:rPr>
          <w:rFonts w:hint="eastAsia"/>
          <w:color w:val="auto"/>
          <w:highlight w:val="none"/>
        </w:rPr>
      </w:pPr>
    </w:p>
    <w:p>
      <w:pPr>
        <w:spacing w:after="312" w:afterLines="100" w:line="360" w:lineRule="auto"/>
        <w:rPr>
          <w:rFonts w:hint="eastAsia"/>
          <w:color w:val="auto"/>
          <w:highlight w:val="none"/>
        </w:rPr>
      </w:pPr>
    </w:p>
    <w:p>
      <w:pPr>
        <w:spacing w:after="312" w:afterLines="100" w:line="360" w:lineRule="auto"/>
        <w:rPr>
          <w:rFonts w:hint="eastAsia"/>
          <w:color w:val="auto"/>
          <w:highlight w:val="none"/>
        </w:rPr>
      </w:pPr>
    </w:p>
    <w:p>
      <w:pPr>
        <w:spacing w:after="312" w:afterLines="100" w:line="360" w:lineRule="auto"/>
        <w:rPr>
          <w:rFonts w:hint="eastAsia"/>
          <w:color w:val="auto"/>
          <w:highlight w:val="none"/>
        </w:rPr>
      </w:pPr>
    </w:p>
    <w:p>
      <w:pPr>
        <w:spacing w:after="312" w:afterLines="100" w:line="360" w:lineRule="auto"/>
        <w:rPr>
          <w:rFonts w:hint="eastAsia"/>
          <w:color w:val="auto"/>
          <w:highlight w:val="none"/>
        </w:rPr>
      </w:pPr>
    </w:p>
    <w:p>
      <w:pPr>
        <w:spacing w:after="312" w:afterLines="100" w:line="360" w:lineRule="auto"/>
        <w:rPr>
          <w:rFonts w:hint="eastAsia"/>
          <w:color w:val="auto"/>
          <w:highlight w:val="none"/>
        </w:rPr>
      </w:pPr>
    </w:p>
    <w:p>
      <w:pPr>
        <w:spacing w:after="312" w:afterLines="100" w:line="360" w:lineRule="auto"/>
        <w:rPr>
          <w:rFonts w:hint="eastAsia"/>
          <w:color w:val="auto"/>
          <w:highlight w:val="none"/>
        </w:rPr>
      </w:pPr>
    </w:p>
    <w:p>
      <w:pPr>
        <w:spacing w:line="360" w:lineRule="auto"/>
        <w:jc w:val="left"/>
        <w:rPr>
          <w:rFonts w:hint="eastAsia"/>
          <w:color w:val="auto"/>
          <w:highlight w:val="none"/>
        </w:rPr>
      </w:pPr>
    </w:p>
    <w:p>
      <w:pPr>
        <w:spacing w:line="360" w:lineRule="auto"/>
        <w:ind w:firstLine="420" w:firstLineChars="200"/>
        <w:jc w:val="left"/>
        <w:rPr>
          <w:rFonts w:hint="eastAsia"/>
          <w:color w:val="auto"/>
          <w:highlight w:val="none"/>
        </w:rPr>
      </w:pPr>
    </w:p>
    <w:p>
      <w:pPr>
        <w:spacing w:line="360" w:lineRule="auto"/>
        <w:ind w:firstLine="420" w:firstLineChars="200"/>
        <w:jc w:val="left"/>
        <w:rPr>
          <w:rFonts w:hint="eastAsia"/>
          <w:color w:val="auto"/>
          <w:highlight w:val="none"/>
        </w:rPr>
      </w:pPr>
    </w:p>
    <w:p>
      <w:pPr>
        <w:pageBreakBefore w:val="0"/>
        <w:kinsoku/>
        <w:wordWrap/>
        <w:overflowPunct/>
        <w:topLinePunct w:val="0"/>
        <w:bidi w:val="0"/>
        <w:spacing w:line="360" w:lineRule="auto"/>
        <w:jc w:val="center"/>
        <w:rPr>
          <w:rFonts w:hint="eastAsia" w:ascii="宋体" w:hAnsi="宋体" w:eastAsia="宋体"/>
          <w:b/>
          <w:color w:val="auto"/>
          <w:szCs w:val="21"/>
          <w:highlight w:val="none"/>
          <w:lang w:eastAsia="zh-CN"/>
        </w:rPr>
      </w:pPr>
      <w:r>
        <w:rPr>
          <w:rFonts w:hint="eastAsia" w:ascii="宋体" w:hAnsi="宋体" w:eastAsia="宋体"/>
          <w:b/>
          <w:color w:val="auto"/>
          <w:szCs w:val="21"/>
          <w:highlight w:val="none"/>
          <w:lang w:eastAsia="zh-CN"/>
        </w:rPr>
        <w:t>九、业绩</w:t>
      </w: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30"/>
        <w:ind w:left="0" w:leftChars="0" w:firstLine="0" w:firstLineChars="0"/>
        <w:rPr>
          <w:rFonts w:hint="eastAsia"/>
          <w:color w:val="auto"/>
          <w:highlight w:val="none"/>
        </w:rPr>
      </w:pPr>
    </w:p>
    <w:p>
      <w:pPr>
        <w:pStyle w:val="30"/>
        <w:rPr>
          <w:rFonts w:hint="eastAsia"/>
          <w:color w:val="auto"/>
          <w:highlight w:val="none"/>
        </w:rPr>
      </w:pPr>
    </w:p>
    <w:p>
      <w:pPr>
        <w:jc w:val="center"/>
        <w:rPr>
          <w:rFonts w:hint="eastAsia" w:ascii="楷体_GB2312" w:hAnsi="宋体" w:eastAsia="楷体_GB2312"/>
          <w:b/>
          <w:color w:val="auto"/>
          <w:sz w:val="44"/>
          <w:szCs w:val="44"/>
          <w:highlight w:val="none"/>
        </w:rPr>
      </w:pPr>
      <w:r>
        <w:rPr>
          <w:rFonts w:hint="eastAsia" w:ascii="楷体_GB2312" w:hAnsi="宋体" w:eastAsia="楷体_GB2312"/>
          <w:b/>
          <w:color w:val="auto"/>
          <w:sz w:val="44"/>
          <w:szCs w:val="44"/>
          <w:highlight w:val="none"/>
        </w:rPr>
        <w:t>供应商参加磋商确认函</w:t>
      </w:r>
    </w:p>
    <w:p>
      <w:pPr>
        <w:rPr>
          <w:rFonts w:hint="eastAsia" w:ascii="楷体_GB2312" w:eastAsia="楷体_GB2312"/>
          <w:color w:val="auto"/>
          <w:sz w:val="32"/>
          <w:szCs w:val="32"/>
          <w:highlight w:val="none"/>
        </w:rPr>
      </w:pPr>
      <w:r>
        <w:rPr>
          <w:rFonts w:hint="eastAsia" w:ascii="楷体_GB2312" w:eastAsia="楷体_GB2312"/>
          <w:color w:val="auto"/>
          <w:sz w:val="32"/>
          <w:szCs w:val="32"/>
          <w:highlight w:val="none"/>
        </w:rPr>
        <w:t>扬州筑苑工程招标咨询有限公司：</w:t>
      </w:r>
    </w:p>
    <w:p>
      <w:pPr>
        <w:rPr>
          <w:rFonts w:hint="eastAsia" w:ascii="楷体_GB2312" w:eastAsia="楷体_GB2312"/>
          <w:color w:val="auto"/>
          <w:sz w:val="32"/>
          <w:szCs w:val="32"/>
          <w:highlight w:val="none"/>
        </w:rPr>
      </w:pPr>
      <w:r>
        <w:rPr>
          <w:rFonts w:hint="eastAsia" w:ascii="楷体_GB2312" w:eastAsia="楷体_GB2312"/>
          <w:color w:val="auto"/>
          <w:sz w:val="32"/>
          <w:szCs w:val="32"/>
          <w:highlight w:val="none"/>
        </w:rPr>
        <w:t>　　本单位将参加贵公司于</w:t>
      </w:r>
      <w:r>
        <w:rPr>
          <w:rFonts w:hint="eastAsia" w:ascii="楷体_GB2312" w:eastAsia="楷体_GB2312"/>
          <w:color w:val="auto"/>
          <w:sz w:val="32"/>
          <w:szCs w:val="32"/>
          <w:highlight w:val="none"/>
          <w:u w:val="single"/>
        </w:rPr>
        <w:t xml:space="preserve">     </w:t>
      </w:r>
      <w:r>
        <w:rPr>
          <w:rFonts w:hint="eastAsia" w:ascii="楷体_GB2312" w:eastAsia="楷体_GB2312"/>
          <w:color w:val="auto"/>
          <w:sz w:val="32"/>
          <w:szCs w:val="32"/>
          <w:highlight w:val="none"/>
        </w:rPr>
        <w:t>月</w:t>
      </w:r>
      <w:r>
        <w:rPr>
          <w:rFonts w:hint="eastAsia" w:ascii="楷体_GB2312" w:eastAsia="楷体_GB2312"/>
          <w:color w:val="auto"/>
          <w:sz w:val="32"/>
          <w:szCs w:val="32"/>
          <w:highlight w:val="none"/>
          <w:u w:val="single"/>
        </w:rPr>
        <w:t xml:space="preserve">     </w:t>
      </w:r>
      <w:r>
        <w:rPr>
          <w:rFonts w:hint="eastAsia" w:ascii="楷体_GB2312" w:eastAsia="楷体_GB2312"/>
          <w:color w:val="auto"/>
          <w:sz w:val="32"/>
          <w:szCs w:val="32"/>
          <w:highlight w:val="none"/>
        </w:rPr>
        <w:t>日开标的采购编号为</w:t>
      </w:r>
      <w:r>
        <w:rPr>
          <w:rFonts w:hint="eastAsia" w:ascii="楷体_GB2312" w:eastAsia="楷体_GB2312"/>
          <w:color w:val="auto"/>
          <w:sz w:val="32"/>
          <w:szCs w:val="32"/>
          <w:highlight w:val="none"/>
          <w:u w:val="single"/>
        </w:rPr>
        <w:t xml:space="preserve">       </w:t>
      </w:r>
      <w:r>
        <w:rPr>
          <w:rFonts w:hint="eastAsia" w:ascii="楷体_GB2312" w:eastAsia="楷体_GB2312"/>
          <w:color w:val="auto"/>
          <w:sz w:val="32"/>
          <w:szCs w:val="32"/>
          <w:highlight w:val="none"/>
        </w:rPr>
        <w:t>的</w:t>
      </w:r>
      <w:r>
        <w:rPr>
          <w:rFonts w:hint="eastAsia" w:ascii="楷体_GB2312" w:eastAsia="楷体_GB2312"/>
          <w:color w:val="auto"/>
          <w:sz w:val="32"/>
          <w:szCs w:val="32"/>
          <w:highlight w:val="none"/>
          <w:u w:val="single"/>
        </w:rPr>
        <w:t xml:space="preserve">              </w:t>
      </w:r>
      <w:r>
        <w:rPr>
          <w:rFonts w:hint="eastAsia" w:ascii="楷体_GB2312" w:eastAsia="楷体_GB2312"/>
          <w:color w:val="auto"/>
          <w:sz w:val="32"/>
          <w:szCs w:val="32"/>
          <w:highlight w:val="none"/>
        </w:rPr>
        <w:t>项目的</w:t>
      </w:r>
      <w:r>
        <w:rPr>
          <w:rFonts w:hint="eastAsia" w:ascii="楷体_GB2312" w:eastAsia="楷体_GB2312"/>
          <w:color w:val="auto"/>
          <w:sz w:val="32"/>
          <w:szCs w:val="32"/>
          <w:highlight w:val="none"/>
          <w:u w:val="single"/>
        </w:rPr>
        <w:t xml:space="preserve">    </w:t>
      </w:r>
      <w:r>
        <w:rPr>
          <w:rFonts w:hint="eastAsia" w:ascii="楷体_GB2312" w:eastAsia="楷体_GB2312"/>
          <w:color w:val="auto"/>
          <w:sz w:val="32"/>
          <w:szCs w:val="32"/>
          <w:highlight w:val="none"/>
        </w:rPr>
        <w:t>包投标。本单位已在网上成功下载标书，特发函确认。</w:t>
      </w:r>
    </w:p>
    <w:p>
      <w:pPr>
        <w:ind w:left="4160" w:hanging="4160" w:hangingChars="1300"/>
        <w:rPr>
          <w:rFonts w:hint="eastAsia" w:ascii="楷体_GB2312" w:eastAsia="楷体_GB2312"/>
          <w:color w:val="auto"/>
          <w:sz w:val="32"/>
          <w:szCs w:val="32"/>
          <w:highlight w:val="none"/>
        </w:rPr>
      </w:pPr>
      <w:r>
        <w:rPr>
          <w:rFonts w:hint="eastAsia" w:ascii="楷体_GB2312" w:eastAsia="楷体_GB2312"/>
          <w:color w:val="auto"/>
          <w:sz w:val="32"/>
          <w:szCs w:val="32"/>
          <w:highlight w:val="none"/>
        </w:rPr>
        <w:t xml:space="preserve">　　　　　　          </w:t>
      </w:r>
      <w:r>
        <w:rPr>
          <w:rFonts w:hint="eastAsia" w:ascii="楷体_GB2312" w:eastAsia="楷体_GB2312"/>
          <w:color w:val="auto"/>
          <w:sz w:val="32"/>
          <w:szCs w:val="32"/>
          <w:highlight w:val="none"/>
          <w:u w:val="single"/>
        </w:rPr>
        <w:t xml:space="preserve">  　             </w:t>
      </w:r>
      <w:r>
        <w:rPr>
          <w:rFonts w:hint="eastAsia" w:ascii="楷体_GB2312" w:eastAsia="楷体_GB2312"/>
          <w:color w:val="auto"/>
          <w:sz w:val="32"/>
          <w:szCs w:val="32"/>
          <w:highlight w:val="none"/>
        </w:rPr>
        <w:t>（单位公章）</w:t>
      </w:r>
    </w:p>
    <w:p>
      <w:pPr>
        <w:pBdr>
          <w:bottom w:val="single" w:color="auto" w:sz="6" w:space="1"/>
        </w:pBdr>
        <w:ind w:left="5280" w:hanging="5280" w:hangingChars="1650"/>
        <w:rPr>
          <w:rFonts w:hint="eastAsia" w:ascii="楷体_GB2312" w:eastAsia="楷体_GB2312"/>
          <w:color w:val="auto"/>
          <w:sz w:val="32"/>
          <w:szCs w:val="32"/>
          <w:highlight w:val="none"/>
        </w:rPr>
      </w:pPr>
      <w:r>
        <w:rPr>
          <w:rFonts w:hint="eastAsia" w:ascii="楷体_GB2312" w:eastAsia="楷体_GB2312"/>
          <w:color w:val="auto"/>
          <w:sz w:val="32"/>
          <w:szCs w:val="32"/>
          <w:highlight w:val="none"/>
        </w:rPr>
        <w:t>　　　　　　　　　　　　　    　年　　　月　　　日</w:t>
      </w:r>
    </w:p>
    <w:p>
      <w:pPr>
        <w:ind w:left="5280" w:hanging="5280" w:hangingChars="1650"/>
        <w:rPr>
          <w:rFonts w:hint="eastAsia" w:ascii="楷体_GB2312" w:eastAsia="楷体_GB2312"/>
          <w:color w:val="auto"/>
          <w:sz w:val="32"/>
          <w:szCs w:val="32"/>
          <w:highlight w:val="none"/>
        </w:rPr>
      </w:pPr>
      <w:r>
        <w:rPr>
          <w:rFonts w:hint="eastAsia" w:ascii="楷体_GB2312" w:eastAsia="楷体_GB2312"/>
          <w:color w:val="auto"/>
          <w:sz w:val="32"/>
          <w:szCs w:val="32"/>
          <w:highlight w:val="none"/>
        </w:rPr>
        <w:t>附：</w:t>
      </w:r>
    </w:p>
    <w:p>
      <w:pPr>
        <w:ind w:left="5963" w:hanging="5963" w:hangingChars="1650"/>
        <w:jc w:val="center"/>
        <w:rPr>
          <w:rFonts w:hint="eastAsia" w:ascii="楷体_GB2312" w:eastAsia="楷体_GB2312"/>
          <w:b/>
          <w:color w:val="auto"/>
          <w:sz w:val="36"/>
          <w:szCs w:val="36"/>
          <w:highlight w:val="none"/>
        </w:rPr>
      </w:pPr>
      <w:r>
        <w:rPr>
          <w:rFonts w:hint="eastAsia" w:ascii="楷体_GB2312" w:eastAsia="楷体_GB2312"/>
          <w:b/>
          <w:color w:val="auto"/>
          <w:sz w:val="36"/>
          <w:szCs w:val="36"/>
          <w:highlight w:val="none"/>
        </w:rPr>
        <w:t xml:space="preserve">     </w:t>
      </w:r>
      <w:r>
        <w:rPr>
          <w:rFonts w:hint="eastAsia" w:ascii="楷体_GB2312" w:eastAsia="楷体_GB2312"/>
          <w:b/>
          <w:color w:val="auto"/>
          <w:sz w:val="36"/>
          <w:szCs w:val="36"/>
          <w:highlight w:val="none"/>
          <w:lang w:eastAsia="zh-CN"/>
        </w:rPr>
        <w:t>供应商</w:t>
      </w:r>
      <w:r>
        <w:rPr>
          <w:rFonts w:hint="eastAsia" w:ascii="楷体_GB2312" w:eastAsia="楷体_GB2312"/>
          <w:b/>
          <w:color w:val="auto"/>
          <w:sz w:val="36"/>
          <w:szCs w:val="36"/>
          <w:highlight w:val="none"/>
        </w:rPr>
        <w:t>联系表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2550"/>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tcPr>
          <w:p>
            <w:pPr>
              <w:rPr>
                <w:rFonts w:hint="eastAsia" w:ascii="楷体_GB2312" w:eastAsia="楷体_GB2312"/>
                <w:color w:val="auto"/>
                <w:sz w:val="28"/>
                <w:szCs w:val="28"/>
                <w:highlight w:val="none"/>
              </w:rPr>
            </w:pPr>
            <w:r>
              <w:rPr>
                <w:rFonts w:hint="eastAsia" w:ascii="楷体_GB2312" w:eastAsia="楷体_GB2312"/>
                <w:color w:val="auto"/>
                <w:sz w:val="28"/>
                <w:szCs w:val="28"/>
                <w:highlight w:val="none"/>
              </w:rPr>
              <w:t>单位名称</w:t>
            </w:r>
          </w:p>
        </w:tc>
        <w:tc>
          <w:tcPr>
            <w:tcW w:w="6235" w:type="dxa"/>
            <w:gridSpan w:val="3"/>
          </w:tcPr>
          <w:p>
            <w:pPr>
              <w:jc w:val="center"/>
              <w:rPr>
                <w:rFonts w:hint="eastAsia" w:ascii="楷体_GB2312" w:eastAsia="楷体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tcPr>
          <w:p>
            <w:pPr>
              <w:rPr>
                <w:rFonts w:hint="eastAsia" w:ascii="楷体_GB2312" w:eastAsia="楷体_GB2312"/>
                <w:color w:val="auto"/>
                <w:sz w:val="28"/>
                <w:szCs w:val="28"/>
                <w:highlight w:val="none"/>
              </w:rPr>
            </w:pPr>
            <w:r>
              <w:rPr>
                <w:rFonts w:hint="eastAsia" w:ascii="楷体_GB2312" w:eastAsia="楷体_GB2312"/>
                <w:color w:val="auto"/>
                <w:sz w:val="28"/>
                <w:szCs w:val="28"/>
                <w:highlight w:val="none"/>
              </w:rPr>
              <w:t>单位地址</w:t>
            </w:r>
          </w:p>
        </w:tc>
        <w:tc>
          <w:tcPr>
            <w:tcW w:w="6235" w:type="dxa"/>
            <w:gridSpan w:val="3"/>
          </w:tcPr>
          <w:p>
            <w:pPr>
              <w:jc w:val="center"/>
              <w:rPr>
                <w:rFonts w:hint="eastAsia" w:ascii="楷体_GB2312" w:eastAsia="楷体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tcPr>
          <w:p>
            <w:pPr>
              <w:rPr>
                <w:rFonts w:hint="eastAsia" w:ascii="楷体_GB2312" w:eastAsia="楷体_GB2312"/>
                <w:color w:val="auto"/>
                <w:sz w:val="28"/>
                <w:szCs w:val="28"/>
                <w:highlight w:val="none"/>
              </w:rPr>
            </w:pPr>
            <w:r>
              <w:rPr>
                <w:rFonts w:hint="eastAsia" w:ascii="楷体_GB2312" w:eastAsia="楷体_GB2312"/>
                <w:color w:val="auto"/>
                <w:sz w:val="28"/>
                <w:szCs w:val="28"/>
                <w:highlight w:val="none"/>
              </w:rPr>
              <w:t>法定代表人</w:t>
            </w:r>
          </w:p>
        </w:tc>
        <w:tc>
          <w:tcPr>
            <w:tcW w:w="1873" w:type="dxa"/>
          </w:tcPr>
          <w:p>
            <w:pPr>
              <w:rPr>
                <w:rFonts w:hint="eastAsia" w:ascii="楷体_GB2312" w:eastAsia="楷体_GB2312"/>
                <w:color w:val="auto"/>
                <w:sz w:val="28"/>
                <w:szCs w:val="28"/>
                <w:highlight w:val="none"/>
              </w:rPr>
            </w:pPr>
          </w:p>
        </w:tc>
        <w:tc>
          <w:tcPr>
            <w:tcW w:w="2550" w:type="dxa"/>
          </w:tcPr>
          <w:p>
            <w:pPr>
              <w:rPr>
                <w:rFonts w:hint="eastAsia" w:ascii="楷体_GB2312" w:eastAsia="楷体_GB2312"/>
                <w:color w:val="auto"/>
                <w:sz w:val="28"/>
                <w:szCs w:val="28"/>
                <w:highlight w:val="none"/>
              </w:rPr>
            </w:pPr>
            <w:r>
              <w:rPr>
                <w:rFonts w:hint="eastAsia" w:ascii="楷体_GB2312" w:eastAsia="楷体_GB2312"/>
                <w:color w:val="auto"/>
                <w:sz w:val="28"/>
                <w:szCs w:val="28"/>
                <w:highlight w:val="none"/>
              </w:rPr>
              <w:t>邮    编</w:t>
            </w:r>
          </w:p>
        </w:tc>
        <w:tc>
          <w:tcPr>
            <w:tcW w:w="1812" w:type="dxa"/>
          </w:tcPr>
          <w:p>
            <w:pPr>
              <w:jc w:val="center"/>
              <w:rPr>
                <w:rFonts w:hint="eastAsia" w:ascii="楷体_GB2312" w:eastAsia="楷体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Pr>
          <w:p>
            <w:pPr>
              <w:rPr>
                <w:rFonts w:hint="eastAsia" w:ascii="楷体_GB2312" w:eastAsia="楷体_GB2312"/>
                <w:color w:val="auto"/>
                <w:sz w:val="28"/>
                <w:szCs w:val="28"/>
                <w:highlight w:val="none"/>
              </w:rPr>
            </w:pPr>
            <w:r>
              <w:rPr>
                <w:rFonts w:hint="eastAsia" w:ascii="楷体_GB2312" w:eastAsia="楷体_GB2312"/>
                <w:color w:val="auto"/>
                <w:sz w:val="28"/>
                <w:szCs w:val="28"/>
                <w:highlight w:val="none"/>
              </w:rPr>
              <w:t>单位电话</w:t>
            </w:r>
          </w:p>
        </w:tc>
        <w:tc>
          <w:tcPr>
            <w:tcW w:w="1873" w:type="dxa"/>
          </w:tcPr>
          <w:p>
            <w:pPr>
              <w:jc w:val="center"/>
              <w:rPr>
                <w:rFonts w:hint="eastAsia" w:ascii="楷体_GB2312" w:eastAsia="楷体_GB2312"/>
                <w:color w:val="auto"/>
                <w:sz w:val="28"/>
                <w:szCs w:val="28"/>
                <w:highlight w:val="none"/>
              </w:rPr>
            </w:pPr>
          </w:p>
        </w:tc>
        <w:tc>
          <w:tcPr>
            <w:tcW w:w="2550" w:type="dxa"/>
          </w:tcPr>
          <w:p>
            <w:pPr>
              <w:jc w:val="left"/>
              <w:rPr>
                <w:rFonts w:hint="eastAsia" w:ascii="楷体_GB2312" w:eastAsia="楷体_GB2312"/>
                <w:color w:val="auto"/>
                <w:sz w:val="28"/>
                <w:szCs w:val="28"/>
                <w:highlight w:val="none"/>
              </w:rPr>
            </w:pPr>
            <w:r>
              <w:rPr>
                <w:rFonts w:hint="eastAsia" w:ascii="楷体_GB2312" w:eastAsia="楷体_GB2312"/>
                <w:color w:val="auto"/>
                <w:sz w:val="28"/>
                <w:szCs w:val="28"/>
                <w:highlight w:val="none"/>
              </w:rPr>
              <w:t>传真号码</w:t>
            </w:r>
          </w:p>
        </w:tc>
        <w:tc>
          <w:tcPr>
            <w:tcW w:w="1812" w:type="dxa"/>
          </w:tcPr>
          <w:p>
            <w:pPr>
              <w:jc w:val="center"/>
              <w:rPr>
                <w:rFonts w:hint="eastAsia" w:ascii="楷体_GB2312" w:eastAsia="楷体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tcPr>
          <w:p>
            <w:pPr>
              <w:rPr>
                <w:rFonts w:hint="eastAsia" w:ascii="楷体_GB2312" w:eastAsia="楷体_GB2312"/>
                <w:color w:val="auto"/>
                <w:sz w:val="28"/>
                <w:szCs w:val="28"/>
                <w:highlight w:val="none"/>
              </w:rPr>
            </w:pPr>
            <w:r>
              <w:rPr>
                <w:rFonts w:hint="eastAsia" w:ascii="楷体_GB2312" w:eastAsia="楷体_GB2312"/>
                <w:color w:val="auto"/>
                <w:sz w:val="28"/>
                <w:szCs w:val="28"/>
                <w:highlight w:val="none"/>
              </w:rPr>
              <w:t>项目联系人</w:t>
            </w:r>
          </w:p>
        </w:tc>
        <w:tc>
          <w:tcPr>
            <w:tcW w:w="1873" w:type="dxa"/>
          </w:tcPr>
          <w:p>
            <w:pPr>
              <w:jc w:val="center"/>
              <w:rPr>
                <w:rFonts w:hint="eastAsia" w:ascii="楷体_GB2312" w:eastAsia="楷体_GB2312"/>
                <w:color w:val="auto"/>
                <w:sz w:val="28"/>
                <w:szCs w:val="28"/>
                <w:highlight w:val="none"/>
              </w:rPr>
            </w:pPr>
          </w:p>
        </w:tc>
        <w:tc>
          <w:tcPr>
            <w:tcW w:w="2550" w:type="dxa"/>
          </w:tcPr>
          <w:p>
            <w:pPr>
              <w:rPr>
                <w:rFonts w:hint="eastAsia" w:ascii="楷体_GB2312" w:eastAsia="楷体_GB2312"/>
                <w:color w:val="auto"/>
                <w:sz w:val="28"/>
                <w:szCs w:val="28"/>
                <w:highlight w:val="none"/>
              </w:rPr>
            </w:pPr>
            <w:r>
              <w:rPr>
                <w:rFonts w:hint="eastAsia" w:ascii="楷体_GB2312" w:eastAsia="楷体_GB2312"/>
                <w:color w:val="auto"/>
                <w:sz w:val="28"/>
                <w:szCs w:val="28"/>
                <w:highlight w:val="none"/>
              </w:rPr>
              <w:t>邮    箱</w:t>
            </w:r>
          </w:p>
        </w:tc>
        <w:tc>
          <w:tcPr>
            <w:tcW w:w="1812" w:type="dxa"/>
          </w:tcPr>
          <w:p>
            <w:pPr>
              <w:jc w:val="center"/>
              <w:rPr>
                <w:rFonts w:hint="eastAsia" w:ascii="楷体_GB2312" w:eastAsia="楷体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Pr>
          <w:p>
            <w:pPr>
              <w:rPr>
                <w:rFonts w:hint="eastAsia" w:ascii="楷体_GB2312" w:eastAsia="楷体_GB2312"/>
                <w:color w:val="auto"/>
                <w:sz w:val="28"/>
                <w:szCs w:val="28"/>
                <w:highlight w:val="none"/>
              </w:rPr>
            </w:pPr>
            <w:r>
              <w:rPr>
                <w:rFonts w:hint="eastAsia" w:ascii="楷体_GB2312" w:eastAsia="楷体_GB2312"/>
                <w:color w:val="auto"/>
                <w:sz w:val="28"/>
                <w:szCs w:val="28"/>
                <w:highlight w:val="none"/>
              </w:rPr>
              <w:t>联系人电话</w:t>
            </w:r>
          </w:p>
        </w:tc>
        <w:tc>
          <w:tcPr>
            <w:tcW w:w="1873" w:type="dxa"/>
          </w:tcPr>
          <w:p>
            <w:pPr>
              <w:jc w:val="center"/>
              <w:rPr>
                <w:rFonts w:hint="eastAsia" w:ascii="楷体_GB2312" w:eastAsia="楷体_GB2312"/>
                <w:color w:val="auto"/>
                <w:sz w:val="28"/>
                <w:szCs w:val="28"/>
                <w:highlight w:val="none"/>
              </w:rPr>
            </w:pPr>
          </w:p>
        </w:tc>
        <w:tc>
          <w:tcPr>
            <w:tcW w:w="2550" w:type="dxa"/>
          </w:tcPr>
          <w:p>
            <w:pPr>
              <w:rPr>
                <w:rFonts w:hint="eastAsia" w:ascii="楷体_GB2312" w:eastAsia="楷体_GB2312"/>
                <w:color w:val="auto"/>
                <w:sz w:val="28"/>
                <w:szCs w:val="28"/>
                <w:highlight w:val="none"/>
              </w:rPr>
            </w:pPr>
            <w:r>
              <w:rPr>
                <w:rFonts w:hint="eastAsia" w:ascii="楷体_GB2312" w:eastAsia="楷体_GB2312"/>
                <w:color w:val="auto"/>
                <w:sz w:val="28"/>
                <w:szCs w:val="28"/>
                <w:highlight w:val="none"/>
              </w:rPr>
              <w:t>联系人手机</w:t>
            </w:r>
          </w:p>
        </w:tc>
        <w:tc>
          <w:tcPr>
            <w:tcW w:w="1812" w:type="dxa"/>
          </w:tcPr>
          <w:p>
            <w:pPr>
              <w:jc w:val="center"/>
              <w:rPr>
                <w:rFonts w:hint="eastAsia" w:ascii="楷体_GB2312" w:eastAsia="楷体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tcPr>
          <w:p>
            <w:pPr>
              <w:rPr>
                <w:rFonts w:hint="eastAsia" w:ascii="楷体_GB2312" w:eastAsia="楷体_GB2312"/>
                <w:color w:val="auto"/>
                <w:sz w:val="28"/>
                <w:szCs w:val="28"/>
                <w:highlight w:val="none"/>
              </w:rPr>
            </w:pPr>
            <w:r>
              <w:rPr>
                <w:rFonts w:hint="eastAsia" w:ascii="楷体_GB2312" w:eastAsia="楷体_GB2312"/>
                <w:color w:val="auto"/>
                <w:sz w:val="28"/>
                <w:szCs w:val="28"/>
                <w:highlight w:val="none"/>
              </w:rPr>
              <w:t>所投项目名称/标包</w:t>
            </w:r>
          </w:p>
        </w:tc>
        <w:tc>
          <w:tcPr>
            <w:tcW w:w="6235" w:type="dxa"/>
            <w:gridSpan w:val="3"/>
          </w:tcPr>
          <w:p>
            <w:pPr>
              <w:jc w:val="center"/>
              <w:rPr>
                <w:rFonts w:hint="eastAsia" w:ascii="楷体_GB2312" w:eastAsia="楷体_GB2312"/>
                <w:color w:val="auto"/>
                <w:sz w:val="28"/>
                <w:szCs w:val="28"/>
                <w:highlight w:val="none"/>
              </w:rPr>
            </w:pPr>
          </w:p>
        </w:tc>
      </w:tr>
    </w:tbl>
    <w:p>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备注：1、请准备参与本项目投标的供应商如实填写（以上信息均为必填内容）后邮件至采购代理机构（邮箱：</w:t>
      </w:r>
      <w:r>
        <w:rPr>
          <w:color w:val="auto"/>
          <w:highlight w:val="none"/>
        </w:rPr>
        <w:fldChar w:fldCharType="begin"/>
      </w:r>
      <w:r>
        <w:rPr>
          <w:color w:val="auto"/>
          <w:highlight w:val="none"/>
        </w:rPr>
        <w:instrText xml:space="preserve"> HYPERLINK "mailto:43075122@qq.com" </w:instrText>
      </w:r>
      <w:r>
        <w:rPr>
          <w:color w:val="auto"/>
          <w:highlight w:val="none"/>
        </w:rPr>
        <w:fldChar w:fldCharType="separate"/>
      </w:r>
      <w:r>
        <w:rPr>
          <w:rFonts w:hint="default" w:ascii="宋体" w:hAnsi="宋体" w:cs="宋体"/>
          <w:b/>
          <w:color w:val="auto"/>
          <w:sz w:val="24"/>
          <w:highlight w:val="none"/>
          <w:lang w:val="en-US"/>
        </w:rPr>
        <w:t>843871345</w:t>
      </w:r>
      <w:r>
        <w:rPr>
          <w:rFonts w:hint="eastAsia" w:ascii="宋体" w:hAnsi="宋体" w:cs="宋体"/>
          <w:b/>
          <w:color w:val="auto"/>
          <w:sz w:val="24"/>
          <w:highlight w:val="none"/>
        </w:rPr>
        <w:t>@qq.com</w:t>
      </w:r>
      <w:r>
        <w:rPr>
          <w:rFonts w:hint="eastAsia" w:ascii="宋体" w:hAnsi="宋体" w:cs="宋体"/>
          <w:b/>
          <w:color w:val="auto"/>
          <w:sz w:val="24"/>
          <w:highlight w:val="none"/>
        </w:rPr>
        <w:fldChar w:fldCharType="end"/>
      </w:r>
      <w:r>
        <w:rPr>
          <w:rFonts w:hint="eastAsia" w:ascii="宋体" w:hAnsi="宋体" w:cs="宋体"/>
          <w:b/>
          <w:color w:val="auto"/>
          <w:sz w:val="24"/>
          <w:highlight w:val="none"/>
        </w:rPr>
        <w:t>，固定电话：0514-87116778）。</w:t>
      </w:r>
    </w:p>
    <w:p>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 xml:space="preserve">      2、因</w:t>
      </w:r>
      <w:r>
        <w:rPr>
          <w:rFonts w:hint="eastAsia" w:ascii="宋体" w:hAnsi="宋体" w:cs="宋体"/>
          <w:b/>
          <w:color w:val="auto"/>
          <w:sz w:val="24"/>
          <w:highlight w:val="none"/>
          <w:lang w:eastAsia="zh-CN"/>
        </w:rPr>
        <w:t>供应商</w:t>
      </w:r>
      <w:r>
        <w:rPr>
          <w:rFonts w:hint="eastAsia" w:ascii="宋体" w:hAnsi="宋体" w:cs="宋体"/>
          <w:b/>
          <w:color w:val="auto"/>
          <w:sz w:val="24"/>
          <w:highlight w:val="none"/>
        </w:rPr>
        <w:t>填写有误，造成以上信息资料的不实将由</w:t>
      </w:r>
      <w:r>
        <w:rPr>
          <w:rFonts w:hint="eastAsia" w:ascii="宋体" w:hAnsi="宋体" w:cs="宋体"/>
          <w:b/>
          <w:color w:val="auto"/>
          <w:sz w:val="24"/>
          <w:highlight w:val="none"/>
          <w:lang w:eastAsia="zh-CN"/>
        </w:rPr>
        <w:t>供应商</w:t>
      </w:r>
      <w:r>
        <w:rPr>
          <w:rFonts w:hint="eastAsia" w:ascii="宋体" w:hAnsi="宋体" w:cs="宋体"/>
          <w:b/>
          <w:color w:val="auto"/>
          <w:sz w:val="24"/>
          <w:highlight w:val="none"/>
        </w:rPr>
        <w:t>承担责任。</w:t>
      </w:r>
    </w:p>
    <w:p>
      <w:pPr>
        <w:spacing w:line="360" w:lineRule="auto"/>
        <w:jc w:val="left"/>
        <w:rPr>
          <w:rFonts w:hint="eastAsia" w:ascii="楷体_GB2312" w:eastAsia="楷体_GB2312"/>
          <w:color w:val="auto"/>
          <w:highlight w:val="none"/>
        </w:rPr>
      </w:pPr>
      <w:r>
        <w:rPr>
          <w:rFonts w:hint="eastAsia" w:ascii="宋体" w:hAnsi="宋体" w:cs="宋体"/>
          <w:b/>
          <w:color w:val="auto"/>
          <w:sz w:val="24"/>
          <w:highlight w:val="none"/>
        </w:rPr>
        <w:t xml:space="preserve">      3、</w:t>
      </w:r>
      <w:r>
        <w:rPr>
          <w:rFonts w:hint="eastAsia" w:ascii="宋体" w:hAnsi="宋体" w:cs="宋体"/>
          <w:b/>
          <w:color w:val="auto"/>
          <w:sz w:val="24"/>
          <w:highlight w:val="none"/>
          <w:lang w:eastAsia="zh-CN"/>
        </w:rPr>
        <w:t>磋商文件</w:t>
      </w:r>
      <w:r>
        <w:rPr>
          <w:rFonts w:hint="eastAsia" w:ascii="宋体" w:hAnsi="宋体" w:cs="宋体"/>
          <w:b/>
          <w:color w:val="auto"/>
          <w:sz w:val="24"/>
          <w:highlight w:val="none"/>
        </w:rPr>
        <w:t>部分资格证明文件参考样式及说明http://zfcg.yangzhou.gov.cn/zfcgzx/dtxw/201307/bb668282cff142a89b5fe93a543450e8.shtml</w:t>
      </w:r>
    </w:p>
    <w:p>
      <w:pPr>
        <w:spacing w:line="360" w:lineRule="auto"/>
        <w:rPr>
          <w:b/>
          <w:bCs/>
          <w:color w:val="auto"/>
          <w:highlight w:val="none"/>
        </w:rPr>
      </w:pPr>
    </w:p>
    <w:sectPr>
      <w:footerReference r:id="rId5" w:type="default"/>
      <w:pgSz w:w="11906" w:h="16838"/>
      <w:pgMar w:top="1134" w:right="850" w:bottom="850" w:left="1134" w:header="51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tabs>
        <w:tab w:val="left" w:pos="5593"/>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53A2FF"/>
    <w:multiLevelType w:val="singleLevel"/>
    <w:tmpl w:val="A353A2FF"/>
    <w:lvl w:ilvl="0" w:tentative="0">
      <w:start w:val="6"/>
      <w:numFmt w:val="chineseCounting"/>
      <w:suff w:val="nothing"/>
      <w:lvlText w:val="%1、"/>
      <w:lvlJc w:val="left"/>
      <w:rPr>
        <w:rFonts w:hint="eastAsia"/>
      </w:rPr>
    </w:lvl>
  </w:abstractNum>
  <w:abstractNum w:abstractNumId="1">
    <w:nsid w:val="BF2EF85C"/>
    <w:multiLevelType w:val="singleLevel"/>
    <w:tmpl w:val="BF2EF85C"/>
    <w:lvl w:ilvl="0" w:tentative="0">
      <w:start w:val="1"/>
      <w:numFmt w:val="decimal"/>
      <w:suff w:val="nothing"/>
      <w:lvlText w:val="%1、"/>
      <w:lvlJc w:val="left"/>
    </w:lvl>
  </w:abstractNum>
  <w:abstractNum w:abstractNumId="2">
    <w:nsid w:val="E70D4402"/>
    <w:multiLevelType w:val="singleLevel"/>
    <w:tmpl w:val="E70D4402"/>
    <w:lvl w:ilvl="0" w:tentative="0">
      <w:start w:val="1"/>
      <w:numFmt w:val="bullet"/>
      <w:pStyle w:val="9"/>
      <w:lvlText w:val=""/>
      <w:lvlJc w:val="left"/>
      <w:pPr>
        <w:tabs>
          <w:tab w:val="left" w:pos="780"/>
        </w:tabs>
        <w:ind w:left="780" w:hanging="360"/>
      </w:pPr>
      <w:rPr>
        <w:rFonts w:hint="default" w:ascii="Wingdings" w:hAnsi="Wingdings"/>
      </w:rPr>
    </w:lvl>
  </w:abstractNum>
  <w:abstractNum w:abstractNumId="3">
    <w:nsid w:val="E7C64279"/>
    <w:multiLevelType w:val="singleLevel"/>
    <w:tmpl w:val="E7C64279"/>
    <w:lvl w:ilvl="0" w:tentative="0">
      <w:start w:val="2"/>
      <w:numFmt w:val="chineseCounting"/>
      <w:suff w:val="nothing"/>
      <w:lvlText w:val="（%1）"/>
      <w:lvlJc w:val="left"/>
      <w:rPr>
        <w:rFonts w:hint="eastAsia"/>
      </w:rPr>
    </w:lvl>
  </w:abstractNum>
  <w:abstractNum w:abstractNumId="4">
    <w:nsid w:val="00000005"/>
    <w:multiLevelType w:val="singleLevel"/>
    <w:tmpl w:val="00000005"/>
    <w:lvl w:ilvl="0" w:tentative="0">
      <w:start w:val="1"/>
      <w:numFmt w:val="decimal"/>
      <w:suff w:val="nothing"/>
      <w:lvlText w:val="%1、"/>
      <w:lvlJc w:val="left"/>
    </w:lvl>
  </w:abstractNum>
  <w:abstractNum w:abstractNumId="5">
    <w:nsid w:val="15F3223A"/>
    <w:multiLevelType w:val="singleLevel"/>
    <w:tmpl w:val="15F3223A"/>
    <w:lvl w:ilvl="0" w:tentative="0">
      <w:start w:val="2"/>
      <w:numFmt w:val="chineseCounting"/>
      <w:suff w:val="nothing"/>
      <w:lvlText w:val="%1、"/>
      <w:lvlJc w:val="left"/>
      <w:rPr>
        <w:rFonts w:hint="eastAsia"/>
      </w:rPr>
    </w:lvl>
  </w:abstractNum>
  <w:abstractNum w:abstractNumId="6">
    <w:nsid w:val="1B3572B6"/>
    <w:multiLevelType w:val="multilevel"/>
    <w:tmpl w:val="1B3572B6"/>
    <w:lvl w:ilvl="0" w:tentative="0">
      <w:start w:val="2"/>
      <w:numFmt w:val="japaneseCounting"/>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num w:numId="1">
    <w:abstractNumId w:val="2"/>
  </w:num>
  <w:num w:numId="2">
    <w:abstractNumId w:val="5"/>
  </w:num>
  <w:num w:numId="3">
    <w:abstractNumId w:val="3"/>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21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8A6B8D"/>
    <w:rsid w:val="00003106"/>
    <w:rsid w:val="00006993"/>
    <w:rsid w:val="0002586E"/>
    <w:rsid w:val="00025AA1"/>
    <w:rsid w:val="000263CE"/>
    <w:rsid w:val="000321B5"/>
    <w:rsid w:val="0004445E"/>
    <w:rsid w:val="0004757E"/>
    <w:rsid w:val="00067B72"/>
    <w:rsid w:val="00073DF9"/>
    <w:rsid w:val="00075D8A"/>
    <w:rsid w:val="00082BC9"/>
    <w:rsid w:val="000837AF"/>
    <w:rsid w:val="00085CA2"/>
    <w:rsid w:val="0008729D"/>
    <w:rsid w:val="00095EE2"/>
    <w:rsid w:val="000A22F2"/>
    <w:rsid w:val="000A5AE9"/>
    <w:rsid w:val="000A5D55"/>
    <w:rsid w:val="000C5E81"/>
    <w:rsid w:val="000D5246"/>
    <w:rsid w:val="000E7EB6"/>
    <w:rsid w:val="000F5202"/>
    <w:rsid w:val="001021B6"/>
    <w:rsid w:val="0011125D"/>
    <w:rsid w:val="001174EC"/>
    <w:rsid w:val="001333AF"/>
    <w:rsid w:val="00142592"/>
    <w:rsid w:val="00151CAC"/>
    <w:rsid w:val="00154C65"/>
    <w:rsid w:val="001564F4"/>
    <w:rsid w:val="00161055"/>
    <w:rsid w:val="0017252C"/>
    <w:rsid w:val="001A7D54"/>
    <w:rsid w:val="001C42F5"/>
    <w:rsid w:val="001C43F0"/>
    <w:rsid w:val="001D0C25"/>
    <w:rsid w:val="001E4CF2"/>
    <w:rsid w:val="001F285A"/>
    <w:rsid w:val="001F2CE7"/>
    <w:rsid w:val="001F6D83"/>
    <w:rsid w:val="001F72C0"/>
    <w:rsid w:val="0020134F"/>
    <w:rsid w:val="0020381A"/>
    <w:rsid w:val="002162CA"/>
    <w:rsid w:val="00222832"/>
    <w:rsid w:val="0022390D"/>
    <w:rsid w:val="002253F8"/>
    <w:rsid w:val="002330BC"/>
    <w:rsid w:val="0023396D"/>
    <w:rsid w:val="00242C79"/>
    <w:rsid w:val="00246D0D"/>
    <w:rsid w:val="00257A73"/>
    <w:rsid w:val="002623BE"/>
    <w:rsid w:val="00272830"/>
    <w:rsid w:val="00272E7C"/>
    <w:rsid w:val="002866DD"/>
    <w:rsid w:val="00296524"/>
    <w:rsid w:val="002A21FB"/>
    <w:rsid w:val="002A323A"/>
    <w:rsid w:val="002B7375"/>
    <w:rsid w:val="002D637E"/>
    <w:rsid w:val="002D7059"/>
    <w:rsid w:val="002E16CC"/>
    <w:rsid w:val="002E2927"/>
    <w:rsid w:val="002F44D0"/>
    <w:rsid w:val="00312670"/>
    <w:rsid w:val="00323B43"/>
    <w:rsid w:val="00331A79"/>
    <w:rsid w:val="00333F5C"/>
    <w:rsid w:val="003506EA"/>
    <w:rsid w:val="00354795"/>
    <w:rsid w:val="00391EFF"/>
    <w:rsid w:val="00392E73"/>
    <w:rsid w:val="003B7348"/>
    <w:rsid w:val="003E0041"/>
    <w:rsid w:val="003E0084"/>
    <w:rsid w:val="003E24B5"/>
    <w:rsid w:val="003E4133"/>
    <w:rsid w:val="003E4351"/>
    <w:rsid w:val="003E5F40"/>
    <w:rsid w:val="00401EB5"/>
    <w:rsid w:val="00411878"/>
    <w:rsid w:val="00434961"/>
    <w:rsid w:val="0044174F"/>
    <w:rsid w:val="00443465"/>
    <w:rsid w:val="00443684"/>
    <w:rsid w:val="004443A8"/>
    <w:rsid w:val="00446C36"/>
    <w:rsid w:val="00451437"/>
    <w:rsid w:val="00455706"/>
    <w:rsid w:val="00464AD6"/>
    <w:rsid w:val="00474905"/>
    <w:rsid w:val="004762FB"/>
    <w:rsid w:val="004772FD"/>
    <w:rsid w:val="0048519C"/>
    <w:rsid w:val="004860D5"/>
    <w:rsid w:val="004954FC"/>
    <w:rsid w:val="004B3147"/>
    <w:rsid w:val="004B644B"/>
    <w:rsid w:val="004C09CE"/>
    <w:rsid w:val="004C3F79"/>
    <w:rsid w:val="004C5D7D"/>
    <w:rsid w:val="004C6C87"/>
    <w:rsid w:val="004C7A31"/>
    <w:rsid w:val="004C7B6D"/>
    <w:rsid w:val="004D6F99"/>
    <w:rsid w:val="004F046C"/>
    <w:rsid w:val="00506151"/>
    <w:rsid w:val="00515454"/>
    <w:rsid w:val="00523901"/>
    <w:rsid w:val="00534CF0"/>
    <w:rsid w:val="00541033"/>
    <w:rsid w:val="00541C8C"/>
    <w:rsid w:val="00542F38"/>
    <w:rsid w:val="00550DD9"/>
    <w:rsid w:val="00551A1A"/>
    <w:rsid w:val="00555D7F"/>
    <w:rsid w:val="00567014"/>
    <w:rsid w:val="005847A6"/>
    <w:rsid w:val="005C3D5B"/>
    <w:rsid w:val="005C532A"/>
    <w:rsid w:val="005E6521"/>
    <w:rsid w:val="006067C2"/>
    <w:rsid w:val="00612557"/>
    <w:rsid w:val="00616FA2"/>
    <w:rsid w:val="00634FDD"/>
    <w:rsid w:val="006451EC"/>
    <w:rsid w:val="006609EF"/>
    <w:rsid w:val="00663B75"/>
    <w:rsid w:val="00667252"/>
    <w:rsid w:val="00671D08"/>
    <w:rsid w:val="006728E6"/>
    <w:rsid w:val="00682D1E"/>
    <w:rsid w:val="00691B02"/>
    <w:rsid w:val="006A4685"/>
    <w:rsid w:val="006C3962"/>
    <w:rsid w:val="006C630A"/>
    <w:rsid w:val="006F29AE"/>
    <w:rsid w:val="006F3256"/>
    <w:rsid w:val="0070302E"/>
    <w:rsid w:val="00717E36"/>
    <w:rsid w:val="00722D1A"/>
    <w:rsid w:val="00736F17"/>
    <w:rsid w:val="0074240A"/>
    <w:rsid w:val="00770E88"/>
    <w:rsid w:val="00771505"/>
    <w:rsid w:val="007733B0"/>
    <w:rsid w:val="007903DE"/>
    <w:rsid w:val="00796BC7"/>
    <w:rsid w:val="007C0AA4"/>
    <w:rsid w:val="007D1D74"/>
    <w:rsid w:val="007D42D5"/>
    <w:rsid w:val="007D44F8"/>
    <w:rsid w:val="007D4871"/>
    <w:rsid w:val="007D51C6"/>
    <w:rsid w:val="007E3809"/>
    <w:rsid w:val="007E4DB6"/>
    <w:rsid w:val="007E525D"/>
    <w:rsid w:val="00820B34"/>
    <w:rsid w:val="008279AF"/>
    <w:rsid w:val="00831E0C"/>
    <w:rsid w:val="00843E1C"/>
    <w:rsid w:val="00847672"/>
    <w:rsid w:val="00852472"/>
    <w:rsid w:val="00871AA9"/>
    <w:rsid w:val="0087409F"/>
    <w:rsid w:val="008747D9"/>
    <w:rsid w:val="0088011D"/>
    <w:rsid w:val="008863CD"/>
    <w:rsid w:val="00886EE1"/>
    <w:rsid w:val="008B326B"/>
    <w:rsid w:val="008C3430"/>
    <w:rsid w:val="008E52B4"/>
    <w:rsid w:val="008E7345"/>
    <w:rsid w:val="008E7F99"/>
    <w:rsid w:val="008F62B3"/>
    <w:rsid w:val="0091434D"/>
    <w:rsid w:val="00917CCA"/>
    <w:rsid w:val="009241CF"/>
    <w:rsid w:val="0093322C"/>
    <w:rsid w:val="009344B0"/>
    <w:rsid w:val="00935F39"/>
    <w:rsid w:val="00944474"/>
    <w:rsid w:val="009526F6"/>
    <w:rsid w:val="0095572C"/>
    <w:rsid w:val="00967FE8"/>
    <w:rsid w:val="00971556"/>
    <w:rsid w:val="009722E4"/>
    <w:rsid w:val="009731A5"/>
    <w:rsid w:val="00975BE1"/>
    <w:rsid w:val="00977FCF"/>
    <w:rsid w:val="0098579B"/>
    <w:rsid w:val="00997B90"/>
    <w:rsid w:val="009A7720"/>
    <w:rsid w:val="009C7BEA"/>
    <w:rsid w:val="009D056F"/>
    <w:rsid w:val="00A037C8"/>
    <w:rsid w:val="00A04FE4"/>
    <w:rsid w:val="00A14127"/>
    <w:rsid w:val="00A16477"/>
    <w:rsid w:val="00A26976"/>
    <w:rsid w:val="00A308FA"/>
    <w:rsid w:val="00A41EEA"/>
    <w:rsid w:val="00A44C79"/>
    <w:rsid w:val="00A5620B"/>
    <w:rsid w:val="00A614C8"/>
    <w:rsid w:val="00A64F16"/>
    <w:rsid w:val="00A70755"/>
    <w:rsid w:val="00A8105D"/>
    <w:rsid w:val="00A8571F"/>
    <w:rsid w:val="00A86465"/>
    <w:rsid w:val="00A87250"/>
    <w:rsid w:val="00A90D31"/>
    <w:rsid w:val="00A92B7D"/>
    <w:rsid w:val="00A92FC1"/>
    <w:rsid w:val="00A96582"/>
    <w:rsid w:val="00A97700"/>
    <w:rsid w:val="00AA738D"/>
    <w:rsid w:val="00AB15F3"/>
    <w:rsid w:val="00AB7FA7"/>
    <w:rsid w:val="00AC69AA"/>
    <w:rsid w:val="00AD0C52"/>
    <w:rsid w:val="00AD7FD0"/>
    <w:rsid w:val="00AF01BC"/>
    <w:rsid w:val="00AF1462"/>
    <w:rsid w:val="00AF1F25"/>
    <w:rsid w:val="00B05ABB"/>
    <w:rsid w:val="00B27E14"/>
    <w:rsid w:val="00B30D67"/>
    <w:rsid w:val="00B520C2"/>
    <w:rsid w:val="00B63E59"/>
    <w:rsid w:val="00B63EAC"/>
    <w:rsid w:val="00B652BE"/>
    <w:rsid w:val="00B72F6B"/>
    <w:rsid w:val="00B7430C"/>
    <w:rsid w:val="00B953A9"/>
    <w:rsid w:val="00BA0F1D"/>
    <w:rsid w:val="00BB09E0"/>
    <w:rsid w:val="00BC13E3"/>
    <w:rsid w:val="00BC666D"/>
    <w:rsid w:val="00BD18E7"/>
    <w:rsid w:val="00BE1ECB"/>
    <w:rsid w:val="00BE41FC"/>
    <w:rsid w:val="00BF5291"/>
    <w:rsid w:val="00C01A8D"/>
    <w:rsid w:val="00C04B78"/>
    <w:rsid w:val="00C114AC"/>
    <w:rsid w:val="00C166E7"/>
    <w:rsid w:val="00C17F3D"/>
    <w:rsid w:val="00C22EFF"/>
    <w:rsid w:val="00C2688A"/>
    <w:rsid w:val="00C305FE"/>
    <w:rsid w:val="00C42BAC"/>
    <w:rsid w:val="00C43423"/>
    <w:rsid w:val="00C44191"/>
    <w:rsid w:val="00C62E1C"/>
    <w:rsid w:val="00C872B5"/>
    <w:rsid w:val="00CA1072"/>
    <w:rsid w:val="00CA379A"/>
    <w:rsid w:val="00CB5265"/>
    <w:rsid w:val="00CB63B9"/>
    <w:rsid w:val="00CC641A"/>
    <w:rsid w:val="00CC6976"/>
    <w:rsid w:val="00CD5AB3"/>
    <w:rsid w:val="00CE5D5C"/>
    <w:rsid w:val="00CF6D0D"/>
    <w:rsid w:val="00D14440"/>
    <w:rsid w:val="00D2652A"/>
    <w:rsid w:val="00D27578"/>
    <w:rsid w:val="00D4305A"/>
    <w:rsid w:val="00D44F0F"/>
    <w:rsid w:val="00D82ED2"/>
    <w:rsid w:val="00D831B5"/>
    <w:rsid w:val="00D83CB7"/>
    <w:rsid w:val="00D843E6"/>
    <w:rsid w:val="00D93875"/>
    <w:rsid w:val="00D95CE0"/>
    <w:rsid w:val="00DA1B89"/>
    <w:rsid w:val="00DA284F"/>
    <w:rsid w:val="00DA3D08"/>
    <w:rsid w:val="00DC187D"/>
    <w:rsid w:val="00DD0719"/>
    <w:rsid w:val="00DE1965"/>
    <w:rsid w:val="00DE67FF"/>
    <w:rsid w:val="00E041EB"/>
    <w:rsid w:val="00E12B8E"/>
    <w:rsid w:val="00E226BF"/>
    <w:rsid w:val="00E22E2F"/>
    <w:rsid w:val="00E24A50"/>
    <w:rsid w:val="00E44FB8"/>
    <w:rsid w:val="00E512A0"/>
    <w:rsid w:val="00E63B9A"/>
    <w:rsid w:val="00E7238B"/>
    <w:rsid w:val="00E84AB6"/>
    <w:rsid w:val="00E85045"/>
    <w:rsid w:val="00E85468"/>
    <w:rsid w:val="00E874D0"/>
    <w:rsid w:val="00E93607"/>
    <w:rsid w:val="00EB4DFF"/>
    <w:rsid w:val="00EB6D48"/>
    <w:rsid w:val="00EB7788"/>
    <w:rsid w:val="00EC2E59"/>
    <w:rsid w:val="00EF1C7B"/>
    <w:rsid w:val="00F02FE8"/>
    <w:rsid w:val="00F12893"/>
    <w:rsid w:val="00F134EB"/>
    <w:rsid w:val="00F13504"/>
    <w:rsid w:val="00F15E27"/>
    <w:rsid w:val="00F1713F"/>
    <w:rsid w:val="00F201DC"/>
    <w:rsid w:val="00F20BD0"/>
    <w:rsid w:val="00F23624"/>
    <w:rsid w:val="00F349FF"/>
    <w:rsid w:val="00F37E52"/>
    <w:rsid w:val="00F5014B"/>
    <w:rsid w:val="00F517EB"/>
    <w:rsid w:val="00F557C9"/>
    <w:rsid w:val="00F63334"/>
    <w:rsid w:val="00F63A07"/>
    <w:rsid w:val="00F63A55"/>
    <w:rsid w:val="00F66606"/>
    <w:rsid w:val="00F70EB8"/>
    <w:rsid w:val="00FA676F"/>
    <w:rsid w:val="00FB4F19"/>
    <w:rsid w:val="00FC0184"/>
    <w:rsid w:val="00FC5452"/>
    <w:rsid w:val="00FC77C6"/>
    <w:rsid w:val="00FD1384"/>
    <w:rsid w:val="00FD1E69"/>
    <w:rsid w:val="00FD5853"/>
    <w:rsid w:val="00FE02D7"/>
    <w:rsid w:val="00FE3C1E"/>
    <w:rsid w:val="00FF4077"/>
    <w:rsid w:val="02544881"/>
    <w:rsid w:val="03202ADD"/>
    <w:rsid w:val="03505368"/>
    <w:rsid w:val="04CA5B3A"/>
    <w:rsid w:val="06C63A1F"/>
    <w:rsid w:val="06D348EC"/>
    <w:rsid w:val="08275B56"/>
    <w:rsid w:val="083D1338"/>
    <w:rsid w:val="098E35B2"/>
    <w:rsid w:val="0A6B0094"/>
    <w:rsid w:val="0A8B6EC9"/>
    <w:rsid w:val="0AA56D21"/>
    <w:rsid w:val="0B213BD0"/>
    <w:rsid w:val="0C627A43"/>
    <w:rsid w:val="0D2C22F7"/>
    <w:rsid w:val="0ED91DAE"/>
    <w:rsid w:val="0ED9699F"/>
    <w:rsid w:val="11355BC5"/>
    <w:rsid w:val="13E61BC4"/>
    <w:rsid w:val="14E72690"/>
    <w:rsid w:val="156628BD"/>
    <w:rsid w:val="16664CC2"/>
    <w:rsid w:val="1779772B"/>
    <w:rsid w:val="1909068C"/>
    <w:rsid w:val="1A4641E6"/>
    <w:rsid w:val="1A930589"/>
    <w:rsid w:val="1A971745"/>
    <w:rsid w:val="1F1C7C57"/>
    <w:rsid w:val="1F3C6F40"/>
    <w:rsid w:val="1F8821F4"/>
    <w:rsid w:val="1FAE051C"/>
    <w:rsid w:val="236D6BE4"/>
    <w:rsid w:val="23D56681"/>
    <w:rsid w:val="24763AC6"/>
    <w:rsid w:val="24D77DDC"/>
    <w:rsid w:val="24FC0A7A"/>
    <w:rsid w:val="251077C7"/>
    <w:rsid w:val="27E95489"/>
    <w:rsid w:val="285442E7"/>
    <w:rsid w:val="28A0300C"/>
    <w:rsid w:val="2C2F3562"/>
    <w:rsid w:val="2C994ED7"/>
    <w:rsid w:val="2DAC1E84"/>
    <w:rsid w:val="2F1B31FD"/>
    <w:rsid w:val="30795ACD"/>
    <w:rsid w:val="31437269"/>
    <w:rsid w:val="321347E8"/>
    <w:rsid w:val="32C92E9C"/>
    <w:rsid w:val="34F34E52"/>
    <w:rsid w:val="355D7C08"/>
    <w:rsid w:val="356356DE"/>
    <w:rsid w:val="385C4BB3"/>
    <w:rsid w:val="3E012853"/>
    <w:rsid w:val="3FA6783C"/>
    <w:rsid w:val="3FD109F4"/>
    <w:rsid w:val="41A72562"/>
    <w:rsid w:val="4311679A"/>
    <w:rsid w:val="43F03311"/>
    <w:rsid w:val="44B66F84"/>
    <w:rsid w:val="4601528F"/>
    <w:rsid w:val="461A15F7"/>
    <w:rsid w:val="464771D6"/>
    <w:rsid w:val="47BB4003"/>
    <w:rsid w:val="481D7824"/>
    <w:rsid w:val="493B414E"/>
    <w:rsid w:val="493D29ED"/>
    <w:rsid w:val="4C8A6B8D"/>
    <w:rsid w:val="4C8E0A8B"/>
    <w:rsid w:val="504A1E01"/>
    <w:rsid w:val="52501A4A"/>
    <w:rsid w:val="52FE62FF"/>
    <w:rsid w:val="54195B1C"/>
    <w:rsid w:val="558C42A3"/>
    <w:rsid w:val="55BD43BF"/>
    <w:rsid w:val="573A6DB1"/>
    <w:rsid w:val="59E91093"/>
    <w:rsid w:val="5AB35459"/>
    <w:rsid w:val="5B801972"/>
    <w:rsid w:val="5B9C3271"/>
    <w:rsid w:val="5BCE2A42"/>
    <w:rsid w:val="5C996C28"/>
    <w:rsid w:val="5D3F509A"/>
    <w:rsid w:val="5D5503B8"/>
    <w:rsid w:val="5F2B7318"/>
    <w:rsid w:val="65BF58CA"/>
    <w:rsid w:val="65CA5408"/>
    <w:rsid w:val="667321E8"/>
    <w:rsid w:val="68511CFC"/>
    <w:rsid w:val="68C05D91"/>
    <w:rsid w:val="692F20E7"/>
    <w:rsid w:val="6C300E91"/>
    <w:rsid w:val="6C584D41"/>
    <w:rsid w:val="6EE8015D"/>
    <w:rsid w:val="6FE25CC8"/>
    <w:rsid w:val="71E23CCE"/>
    <w:rsid w:val="733D1FF6"/>
    <w:rsid w:val="735F20E0"/>
    <w:rsid w:val="7415325C"/>
    <w:rsid w:val="751F3C43"/>
    <w:rsid w:val="765356B4"/>
    <w:rsid w:val="766A6741"/>
    <w:rsid w:val="778C1B65"/>
    <w:rsid w:val="7BA93C4C"/>
    <w:rsid w:val="7C0A3A5E"/>
    <w:rsid w:val="7DCA6B17"/>
    <w:rsid w:val="7DE6587C"/>
    <w:rsid w:val="7E776CF5"/>
    <w:rsid w:val="7F103D38"/>
    <w:rsid w:val="7F3167B8"/>
    <w:rsid w:val="7FD316BF"/>
    <w:rsid w:val="DFFF132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99" w:name="footnote text" w:locked="1"/>
    <w:lsdException w:qFormat="1" w:uiPriority="0"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iPriority="99" w:semiHidden="0" w:name="annotation reference" w:locked="1"/>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qFormat="1" w:uiPriority="99" w:semiHidden="0"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0" w:semiHidden="0"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semiHidden="0"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29"/>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8"/>
    <w:qFormat/>
    <w:uiPriority w:val="99"/>
    <w:pPr>
      <w:keepNext/>
      <w:keepLines/>
      <w:spacing w:before="260" w:after="260" w:line="416" w:lineRule="auto"/>
      <w:jc w:val="center"/>
      <w:outlineLvl w:val="1"/>
    </w:pPr>
    <w:rPr>
      <w:rFonts w:ascii="Arial" w:hAnsi="Arial" w:eastAsia="幼圆"/>
      <w:b/>
      <w:bCs/>
      <w:kern w:val="0"/>
      <w:sz w:val="44"/>
      <w:szCs w:val="44"/>
    </w:rPr>
  </w:style>
  <w:style w:type="paragraph" w:styleId="5">
    <w:name w:val="heading 3"/>
    <w:basedOn w:val="1"/>
    <w:next w:val="1"/>
    <w:qFormat/>
    <w:uiPriority w:val="9"/>
    <w:pPr>
      <w:keepNext/>
      <w:keepLines/>
      <w:spacing w:before="260" w:after="260" w:line="416" w:lineRule="auto"/>
      <w:outlineLvl w:val="2"/>
    </w:pPr>
    <w:rPr>
      <w:rFonts w:ascii="Calibri" w:hAnsi="Calibri"/>
      <w:b/>
      <w:bCs/>
      <w:kern w:val="0"/>
      <w:sz w:val="32"/>
      <w:szCs w:val="32"/>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ody Text Indent"/>
    <w:basedOn w:val="1"/>
    <w:unhideWhenUsed/>
    <w:qFormat/>
    <w:locked/>
    <w:uiPriority w:val="99"/>
    <w:pPr>
      <w:spacing w:after="120"/>
      <w:ind w:left="420" w:leftChars="200"/>
    </w:pPr>
    <w:rPr>
      <w:szCs w:val="24"/>
    </w:rPr>
  </w:style>
  <w:style w:type="paragraph" w:styleId="6">
    <w:name w:val="Normal Indent"/>
    <w:basedOn w:val="1"/>
    <w:next w:val="1"/>
    <w:qFormat/>
    <w:uiPriority w:val="99"/>
    <w:pPr>
      <w:ind w:firstLine="420" w:firstLineChars="200"/>
    </w:pPr>
  </w:style>
  <w:style w:type="paragraph" w:styleId="7">
    <w:name w:val="annotation text"/>
    <w:basedOn w:val="1"/>
    <w:link w:val="59"/>
    <w:unhideWhenUsed/>
    <w:qFormat/>
    <w:locked/>
    <w:uiPriority w:val="0"/>
    <w:pPr>
      <w:jc w:val="left"/>
    </w:pPr>
  </w:style>
  <w:style w:type="paragraph" w:styleId="8">
    <w:name w:val="Body Text"/>
    <w:basedOn w:val="1"/>
    <w:link w:val="32"/>
    <w:qFormat/>
    <w:uiPriority w:val="99"/>
    <w:pPr>
      <w:spacing w:after="120"/>
    </w:pPr>
  </w:style>
  <w:style w:type="paragraph" w:styleId="9">
    <w:name w:val="List Bullet 2"/>
    <w:basedOn w:val="1"/>
    <w:unhideWhenUsed/>
    <w:qFormat/>
    <w:locked/>
    <w:uiPriority w:val="99"/>
    <w:pPr>
      <w:numPr>
        <w:ilvl w:val="0"/>
        <w:numId w:val="1"/>
      </w:numPr>
    </w:pPr>
  </w:style>
  <w:style w:type="paragraph" w:styleId="10">
    <w:name w:val="index 4"/>
    <w:basedOn w:val="1"/>
    <w:next w:val="1"/>
    <w:semiHidden/>
    <w:qFormat/>
    <w:locked/>
    <w:uiPriority w:val="0"/>
    <w:pPr>
      <w:ind w:left="1260"/>
    </w:pPr>
  </w:style>
  <w:style w:type="paragraph" w:styleId="11">
    <w:name w:val="Plain Text"/>
    <w:basedOn w:val="1"/>
    <w:link w:val="33"/>
    <w:qFormat/>
    <w:uiPriority w:val="0"/>
    <w:rPr>
      <w:rFonts w:ascii="宋体" w:hAnsi="Courier New"/>
      <w:kern w:val="0"/>
      <w:sz w:val="20"/>
      <w:szCs w:val="21"/>
    </w:rPr>
  </w:style>
  <w:style w:type="paragraph" w:styleId="12">
    <w:name w:val="Date"/>
    <w:basedOn w:val="1"/>
    <w:next w:val="1"/>
    <w:link w:val="34"/>
    <w:qFormat/>
    <w:uiPriority w:val="99"/>
    <w:rPr>
      <w:kern w:val="0"/>
      <w:sz w:val="24"/>
      <w:szCs w:val="20"/>
    </w:rPr>
  </w:style>
  <w:style w:type="paragraph" w:styleId="13">
    <w:name w:val="Balloon Text"/>
    <w:basedOn w:val="1"/>
    <w:link w:val="53"/>
    <w:unhideWhenUsed/>
    <w:qFormat/>
    <w:locked/>
    <w:uiPriority w:val="99"/>
    <w:rPr>
      <w:sz w:val="18"/>
      <w:szCs w:val="18"/>
    </w:rPr>
  </w:style>
  <w:style w:type="paragraph" w:styleId="14">
    <w:name w:val="footer"/>
    <w:basedOn w:val="1"/>
    <w:link w:val="35"/>
    <w:qFormat/>
    <w:uiPriority w:val="99"/>
    <w:pPr>
      <w:tabs>
        <w:tab w:val="center" w:pos="4153"/>
        <w:tab w:val="right" w:pos="8306"/>
      </w:tabs>
      <w:snapToGrid w:val="0"/>
      <w:jc w:val="left"/>
    </w:pPr>
    <w:rPr>
      <w:sz w:val="18"/>
    </w:rPr>
  </w:style>
  <w:style w:type="paragraph" w:styleId="15">
    <w:name w:val="header"/>
    <w:basedOn w:val="1"/>
    <w:link w:val="3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style>
  <w:style w:type="paragraph" w:styleId="1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8">
    <w:name w:val="toc 2"/>
    <w:basedOn w:val="1"/>
    <w:next w:val="1"/>
    <w:qFormat/>
    <w:uiPriority w:val="39"/>
    <w:pPr>
      <w:ind w:left="420" w:leftChars="200"/>
    </w:pPr>
  </w:style>
  <w:style w:type="paragraph" w:styleId="19">
    <w:name w:val="Normal (Web)"/>
    <w:basedOn w:val="1"/>
    <w:qFormat/>
    <w:uiPriority w:val="99"/>
    <w:pPr>
      <w:spacing w:before="100" w:beforeAutospacing="1" w:after="100" w:afterAutospacing="1"/>
      <w:jc w:val="left"/>
    </w:pPr>
    <w:rPr>
      <w:kern w:val="0"/>
      <w:sz w:val="24"/>
    </w:rPr>
  </w:style>
  <w:style w:type="paragraph" w:styleId="20">
    <w:name w:val="annotation subject"/>
    <w:basedOn w:val="7"/>
    <w:next w:val="7"/>
    <w:link w:val="60"/>
    <w:unhideWhenUsed/>
    <w:qFormat/>
    <w:locked/>
    <w:uiPriority w:val="99"/>
    <w:rPr>
      <w:b/>
      <w:bCs/>
    </w:rPr>
  </w:style>
  <w:style w:type="table" w:styleId="22">
    <w:name w:val="Table Grid"/>
    <w:basedOn w:val="2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99"/>
    <w:rPr>
      <w:rFonts w:cs="Times New Roman"/>
      <w:b/>
    </w:rPr>
  </w:style>
  <w:style w:type="character" w:styleId="25">
    <w:name w:val="page number"/>
    <w:basedOn w:val="23"/>
    <w:qFormat/>
    <w:locked/>
    <w:uiPriority w:val="0"/>
    <w:rPr>
      <w:rFonts w:ascii="Times New Roman" w:hAnsi="Times New Roman" w:eastAsia="宋体" w:cs="Times New Roman"/>
    </w:rPr>
  </w:style>
  <w:style w:type="character" w:styleId="26">
    <w:name w:val="Hyperlink"/>
    <w:basedOn w:val="23"/>
    <w:qFormat/>
    <w:locked/>
    <w:uiPriority w:val="0"/>
    <w:rPr>
      <w:rFonts w:ascii="Times New Roman" w:hAnsi="Times New Roman" w:eastAsia="宋体" w:cs="Times New Roman"/>
      <w:color w:val="0000FF"/>
      <w:u w:val="single"/>
    </w:rPr>
  </w:style>
  <w:style w:type="character" w:styleId="27">
    <w:name w:val="annotation reference"/>
    <w:basedOn w:val="23"/>
    <w:unhideWhenUsed/>
    <w:qFormat/>
    <w:locked/>
    <w:uiPriority w:val="99"/>
    <w:rPr>
      <w:sz w:val="21"/>
      <w:szCs w:val="21"/>
    </w:rPr>
  </w:style>
  <w:style w:type="character" w:customStyle="1" w:styleId="28">
    <w:name w:val="标题 2 Char"/>
    <w:basedOn w:val="23"/>
    <w:link w:val="4"/>
    <w:semiHidden/>
    <w:qFormat/>
    <w:locked/>
    <w:uiPriority w:val="99"/>
    <w:rPr>
      <w:rFonts w:ascii="Cambria" w:hAnsi="Cambria" w:eastAsia="宋体" w:cs="Times New Roman"/>
      <w:b/>
      <w:bCs/>
      <w:sz w:val="32"/>
      <w:szCs w:val="32"/>
    </w:rPr>
  </w:style>
  <w:style w:type="character" w:customStyle="1" w:styleId="29">
    <w:name w:val="标题 1 Char"/>
    <w:basedOn w:val="23"/>
    <w:link w:val="3"/>
    <w:qFormat/>
    <w:locked/>
    <w:uiPriority w:val="99"/>
    <w:rPr>
      <w:rFonts w:cs="Times New Roman"/>
      <w:b/>
      <w:bCs/>
      <w:kern w:val="44"/>
      <w:sz w:val="44"/>
      <w:szCs w:val="44"/>
    </w:rPr>
  </w:style>
  <w:style w:type="paragraph" w:customStyle="1" w:styleId="30">
    <w:name w:val="正文（缩进）"/>
    <w:basedOn w:val="1"/>
    <w:qFormat/>
    <w:uiPriority w:val="99"/>
    <w:pPr>
      <w:ind w:firstLine="480" w:firstLineChars="200"/>
    </w:pPr>
  </w:style>
  <w:style w:type="paragraph" w:customStyle="1" w:styleId="31">
    <w:name w:val="正文1"/>
    <w:next w:val="1"/>
    <w:qFormat/>
    <w:uiPriority w:val="0"/>
    <w:rPr>
      <w:rFonts w:ascii="Times New Roman" w:hAnsi="Times New Roman" w:eastAsia="Times New Roman" w:cs="Times New Roman"/>
      <w:sz w:val="24"/>
      <w:szCs w:val="24"/>
      <w:lang w:val="en-US" w:eastAsia="zh-CN" w:bidi="ar-SA"/>
    </w:rPr>
  </w:style>
  <w:style w:type="character" w:customStyle="1" w:styleId="32">
    <w:name w:val="正文文本 Char"/>
    <w:basedOn w:val="23"/>
    <w:link w:val="8"/>
    <w:semiHidden/>
    <w:qFormat/>
    <w:locked/>
    <w:uiPriority w:val="99"/>
    <w:rPr>
      <w:rFonts w:cs="Times New Roman"/>
    </w:rPr>
  </w:style>
  <w:style w:type="character" w:customStyle="1" w:styleId="33">
    <w:name w:val="纯文本 Char"/>
    <w:basedOn w:val="23"/>
    <w:link w:val="11"/>
    <w:qFormat/>
    <w:locked/>
    <w:uiPriority w:val="0"/>
    <w:rPr>
      <w:rFonts w:ascii="宋体" w:hAnsi="Courier New" w:cs="Courier New"/>
      <w:sz w:val="21"/>
      <w:szCs w:val="21"/>
    </w:rPr>
  </w:style>
  <w:style w:type="character" w:customStyle="1" w:styleId="34">
    <w:name w:val="日期 Char"/>
    <w:basedOn w:val="23"/>
    <w:link w:val="12"/>
    <w:semiHidden/>
    <w:qFormat/>
    <w:locked/>
    <w:uiPriority w:val="99"/>
    <w:rPr>
      <w:rFonts w:cs="Times New Roman"/>
    </w:rPr>
  </w:style>
  <w:style w:type="character" w:customStyle="1" w:styleId="35">
    <w:name w:val="页脚 Char"/>
    <w:basedOn w:val="23"/>
    <w:link w:val="14"/>
    <w:semiHidden/>
    <w:qFormat/>
    <w:locked/>
    <w:uiPriority w:val="99"/>
    <w:rPr>
      <w:rFonts w:cs="Times New Roman"/>
      <w:sz w:val="18"/>
      <w:szCs w:val="18"/>
    </w:rPr>
  </w:style>
  <w:style w:type="character" w:customStyle="1" w:styleId="36">
    <w:name w:val="页眉 Char"/>
    <w:basedOn w:val="23"/>
    <w:link w:val="15"/>
    <w:semiHidden/>
    <w:qFormat/>
    <w:locked/>
    <w:uiPriority w:val="99"/>
    <w:rPr>
      <w:rFonts w:cs="Times New Roman"/>
      <w:sz w:val="18"/>
      <w:szCs w:val="18"/>
    </w:rPr>
  </w:style>
  <w:style w:type="paragraph" w:customStyle="1" w:styleId="37">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38">
    <w:name w:val="Table Paragraph"/>
    <w:basedOn w:val="1"/>
    <w:qFormat/>
    <w:uiPriority w:val="99"/>
    <w:pPr>
      <w:autoSpaceDE w:val="0"/>
      <w:autoSpaceDN w:val="0"/>
      <w:adjustRightInd w:val="0"/>
      <w:jc w:val="left"/>
    </w:pPr>
    <w:rPr>
      <w:kern w:val="0"/>
      <w:sz w:val="24"/>
      <w:szCs w:val="24"/>
    </w:rPr>
  </w:style>
  <w:style w:type="paragraph" w:customStyle="1" w:styleId="39">
    <w:name w:val="列出段落1"/>
    <w:basedOn w:val="1"/>
    <w:qFormat/>
    <w:uiPriority w:val="99"/>
    <w:pPr>
      <w:widowControl/>
      <w:ind w:left="720"/>
      <w:contextualSpacing/>
      <w:jc w:val="left"/>
    </w:pPr>
    <w:rPr>
      <w:kern w:val="0"/>
      <w:sz w:val="24"/>
      <w:szCs w:val="24"/>
      <w:lang w:eastAsia="en-US"/>
    </w:rPr>
  </w:style>
  <w:style w:type="paragraph" w:customStyle="1" w:styleId="40">
    <w:name w:val="Char"/>
    <w:basedOn w:val="1"/>
    <w:qFormat/>
    <w:uiPriority w:val="99"/>
    <w:pPr>
      <w:tabs>
        <w:tab w:val="left" w:pos="360"/>
      </w:tabs>
      <w:ind w:firstLine="200" w:firstLineChars="200"/>
    </w:pPr>
    <w:rPr>
      <w:sz w:val="28"/>
      <w:szCs w:val="30"/>
    </w:rPr>
  </w:style>
  <w:style w:type="paragraph" w:customStyle="1" w:styleId="41">
    <w:name w:val="正文(其它)"/>
    <w:basedOn w:val="1"/>
    <w:qFormat/>
    <w:uiPriority w:val="99"/>
    <w:pPr>
      <w:jc w:val="center"/>
    </w:pPr>
    <w:rPr>
      <w:rFonts w:ascii="黑体" w:eastAsia="黑体"/>
      <w:sz w:val="32"/>
      <w:szCs w:val="32"/>
    </w:rPr>
  </w:style>
  <w:style w:type="paragraph" w:customStyle="1" w:styleId="42">
    <w:name w:val="正文_0_0_0"/>
    <w:qFormat/>
    <w:uiPriority w:val="0"/>
    <w:pPr>
      <w:widowControl w:val="0"/>
      <w:ind w:firstLine="360"/>
      <w:jc w:val="both"/>
    </w:pPr>
    <w:rPr>
      <w:rFonts w:ascii="Calibri" w:hAnsi="Calibri" w:eastAsia="宋体" w:cs="Times New Roman"/>
      <w:kern w:val="2"/>
      <w:sz w:val="21"/>
      <w:szCs w:val="22"/>
      <w:lang w:val="en-US" w:eastAsia="zh-CN" w:bidi="ar-SA"/>
    </w:rPr>
  </w:style>
  <w:style w:type="paragraph" w:customStyle="1" w:styleId="43">
    <w:name w:val="标题 31"/>
    <w:basedOn w:val="31"/>
    <w:next w:val="31"/>
    <w:qFormat/>
    <w:uiPriority w:val="0"/>
    <w:pPr>
      <w:keepNext/>
      <w:keepLines/>
      <w:widowControl w:val="0"/>
      <w:spacing w:before="260" w:after="260" w:line="413" w:lineRule="auto"/>
      <w:jc w:val="both"/>
      <w:outlineLvl w:val="2"/>
    </w:pPr>
    <w:rPr>
      <w:rFonts w:eastAsia="宋体"/>
      <w:b/>
      <w:kern w:val="2"/>
      <w:sz w:val="32"/>
      <w:szCs w:val="20"/>
    </w:rPr>
  </w:style>
  <w:style w:type="paragraph" w:customStyle="1" w:styleId="44">
    <w:name w:val="标题 41"/>
    <w:basedOn w:val="31"/>
    <w:next w:val="31"/>
    <w:qFormat/>
    <w:uiPriority w:val="0"/>
    <w:pPr>
      <w:keepNext/>
      <w:keepLines/>
      <w:widowControl w:val="0"/>
      <w:spacing w:before="280" w:after="290" w:line="372" w:lineRule="auto"/>
      <w:jc w:val="both"/>
      <w:outlineLvl w:val="3"/>
    </w:pPr>
    <w:rPr>
      <w:rFonts w:ascii="Arial" w:hAnsi="Arial" w:eastAsia="黑体"/>
      <w:b/>
      <w:sz w:val="28"/>
      <w:szCs w:val="20"/>
    </w:rPr>
  </w:style>
  <w:style w:type="paragraph" w:customStyle="1" w:styleId="45">
    <w:name w:val="Blockquote"/>
    <w:basedOn w:val="1"/>
    <w:qFormat/>
    <w:uiPriority w:val="0"/>
    <w:pPr>
      <w:autoSpaceDE w:val="0"/>
      <w:autoSpaceDN w:val="0"/>
      <w:adjustRightInd w:val="0"/>
      <w:ind w:left="360" w:right="360"/>
    </w:pPr>
    <w:rPr>
      <w:sz w:val="24"/>
    </w:rPr>
  </w:style>
  <w:style w:type="paragraph" w:customStyle="1" w:styleId="46">
    <w:name w:val="标题 4_0"/>
    <w:basedOn w:val="47"/>
    <w:next w:val="47"/>
    <w:qFormat/>
    <w:uiPriority w:val="0"/>
    <w:pPr>
      <w:keepNext/>
      <w:keepLines/>
      <w:spacing w:before="280" w:after="290" w:line="372" w:lineRule="auto"/>
      <w:outlineLvl w:val="3"/>
    </w:pPr>
    <w:rPr>
      <w:rFonts w:ascii="Cambria" w:hAnsi="Cambria"/>
      <w:b/>
      <w:bCs/>
      <w:sz w:val="28"/>
      <w:szCs w:val="28"/>
    </w:rPr>
  </w:style>
  <w:style w:type="paragraph" w:customStyle="1" w:styleId="4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11"/>
    <w:qFormat/>
    <w:uiPriority w:val="0"/>
    <w:rPr>
      <w:rFonts w:ascii="Times New Roman" w:hAnsi="Times New Roman" w:eastAsia="宋体" w:cs="Times New Roman"/>
      <w:lang w:val="en-US" w:eastAsia="zh-CN" w:bidi="ar-SA"/>
    </w:rPr>
  </w:style>
  <w:style w:type="paragraph" w:customStyle="1" w:styleId="49">
    <w:name w:val="正文_0_0"/>
    <w:qFormat/>
    <w:uiPriority w:val="0"/>
    <w:pPr>
      <w:widowControl w:val="0"/>
      <w:jc w:val="both"/>
    </w:pPr>
    <w:rPr>
      <w:rFonts w:ascii="Calibri" w:hAnsi="Calibri" w:eastAsia="宋体" w:cs="Times New Roman"/>
      <w:lang w:val="en-US" w:eastAsia="zh-CN" w:bidi="ar-SA"/>
    </w:rPr>
  </w:style>
  <w:style w:type="paragraph" w:customStyle="1" w:styleId="50">
    <w:name w:val="标题_0"/>
    <w:basedOn w:val="51"/>
    <w:qFormat/>
    <w:uiPriority w:val="0"/>
    <w:pPr>
      <w:spacing w:before="120" w:after="120" w:line="360" w:lineRule="auto"/>
      <w:jc w:val="center"/>
      <w:outlineLvl w:val="0"/>
    </w:pPr>
    <w:rPr>
      <w:rFonts w:ascii="黑体" w:hAnsi="Arial" w:eastAsia="黑体"/>
      <w:b/>
      <w:bCs/>
      <w:sz w:val="32"/>
      <w:szCs w:val="32"/>
    </w:rPr>
  </w:style>
  <w:style w:type="paragraph" w:customStyle="1" w:styleId="51">
    <w:name w:val="正文_1"/>
    <w:qFormat/>
    <w:uiPriority w:val="0"/>
    <w:rPr>
      <w:rFonts w:ascii="Times New Roman" w:hAnsi="Times New Roman" w:eastAsia="宋体" w:cs="Times New Roman"/>
      <w:lang w:val="en-US" w:eastAsia="zh-CN" w:bidi="ar-SA"/>
    </w:rPr>
  </w:style>
  <w:style w:type="paragraph" w:customStyle="1" w:styleId="52">
    <w:name w:val="List Paragraph"/>
    <w:basedOn w:val="1"/>
    <w:qFormat/>
    <w:uiPriority w:val="34"/>
    <w:pPr>
      <w:ind w:firstLine="420" w:firstLineChars="200"/>
    </w:pPr>
  </w:style>
  <w:style w:type="character" w:customStyle="1" w:styleId="53">
    <w:name w:val="批注框文本 Char"/>
    <w:basedOn w:val="23"/>
    <w:link w:val="13"/>
    <w:semiHidden/>
    <w:qFormat/>
    <w:uiPriority w:val="99"/>
    <w:rPr>
      <w:kern w:val="2"/>
      <w:sz w:val="18"/>
      <w:szCs w:val="18"/>
    </w:rPr>
  </w:style>
  <w:style w:type="paragraph" w:customStyle="1" w:styleId="5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列出段落11"/>
    <w:basedOn w:val="1"/>
    <w:qFormat/>
    <w:uiPriority w:val="0"/>
    <w:pPr>
      <w:ind w:firstLine="420" w:firstLineChars="200"/>
    </w:pPr>
  </w:style>
  <w:style w:type="paragraph" w:customStyle="1" w:styleId="5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57">
    <w:name w:val="样式 首行缩进:  2.25 字符"/>
    <w:basedOn w:val="1"/>
    <w:qFormat/>
    <w:uiPriority w:val="0"/>
    <w:pPr>
      <w:spacing w:line="360" w:lineRule="auto"/>
      <w:ind w:firstLine="225" w:firstLineChars="225"/>
    </w:pPr>
    <w:rPr>
      <w:rFonts w:cs="宋体"/>
      <w:sz w:val="24"/>
      <w:szCs w:val="24"/>
    </w:rPr>
  </w:style>
  <w:style w:type="paragraph" w:customStyle="1" w:styleId="58">
    <w:name w:val="正文 A"/>
    <w:basedOn w:val="1"/>
    <w:qFormat/>
    <w:uiPriority w:val="0"/>
    <w:rPr>
      <w:color w:val="000000"/>
      <w:u w:color="000000"/>
    </w:rPr>
  </w:style>
  <w:style w:type="character" w:customStyle="1" w:styleId="59">
    <w:name w:val="批注文字 Char"/>
    <w:basedOn w:val="23"/>
    <w:link w:val="7"/>
    <w:qFormat/>
    <w:uiPriority w:val="0"/>
    <w:rPr>
      <w:kern w:val="2"/>
      <w:sz w:val="21"/>
      <w:szCs w:val="22"/>
    </w:rPr>
  </w:style>
  <w:style w:type="character" w:customStyle="1" w:styleId="60">
    <w:name w:val="批注主题 Char"/>
    <w:basedOn w:val="59"/>
    <w:link w:val="20"/>
    <w:qFormat/>
    <w:uiPriority w:val="0"/>
    <w:rPr>
      <w:kern w:val="2"/>
      <w:sz w:val="21"/>
      <w:szCs w:val="22"/>
    </w:rPr>
  </w:style>
  <w:style w:type="paragraph" w:customStyle="1" w:styleId="61">
    <w:name w:val="列出段落"/>
    <w:basedOn w:val="1"/>
    <w:qFormat/>
    <w:uiPriority w:val="99"/>
    <w:pPr>
      <w:suppressAutoHyphens/>
      <w:spacing w:before="50" w:after="50" w:line="360" w:lineRule="auto"/>
      <w:ind w:firstLine="420" w:firstLineChars="200"/>
    </w:pPr>
    <w:rPr>
      <w:rFonts w:ascii="宋体" w:hAnsi="宋体"/>
      <w:spacing w:val="-3"/>
      <w:kern w:val="1"/>
      <w:sz w:val="24"/>
      <w:szCs w:val="21"/>
      <w:lang w:eastAsia="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4244</Words>
  <Characters>24193</Characters>
  <Lines>201</Lines>
  <Paragraphs>56</Paragraphs>
  <TotalTime>0</TotalTime>
  <ScaleCrop>false</ScaleCrop>
  <LinksUpToDate>false</LinksUpToDate>
  <CharactersWithSpaces>28381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2019-06-17T22:48:00Z</dcterms:created>
  <dc:creator>二条</dc:creator>
  <cp:lastModifiedBy>lenovo</cp:lastModifiedBy>
  <cp:lastPrinted>2020-01-06T16:40:00Z</cp:lastPrinted>
  <dcterms:modified xsi:type="dcterms:W3CDTF">2021-11-19T08:29:13Z</dcterms:modified>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0613F0072EA04CF28AD53B91C9CE306E</vt:lpwstr>
  </property>
</Properties>
</file>